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6D" w:rsidRPr="005A336D" w:rsidRDefault="00B818DF" w:rsidP="005A336D">
      <w:pPr>
        <w:keepNext/>
        <w:keepLines/>
        <w:spacing w:before="480"/>
        <w:ind w:left="-142"/>
        <w:jc w:val="both"/>
        <w:outlineLvl w:val="0"/>
        <w:rPr>
          <w:rFonts w:ascii="Calibri" w:eastAsia="Cambria" w:hAnsi="Calibri"/>
          <w:b/>
        </w:rPr>
      </w:pPr>
      <w:r>
        <w:rPr>
          <w:noProof/>
          <w:lang w:val="en-AU" w:eastAsia="en-AU"/>
        </w:rPr>
        <w:drawing>
          <wp:anchor distT="0" distB="0" distL="114300" distR="114300" simplePos="0" relativeHeight="251657728" behindDoc="1" locked="0" layoutInCell="1" allowOverlap="1">
            <wp:simplePos x="0" y="0"/>
            <wp:positionH relativeFrom="column">
              <wp:posOffset>3993515</wp:posOffset>
            </wp:positionH>
            <wp:positionV relativeFrom="paragraph">
              <wp:posOffset>-117475</wp:posOffset>
            </wp:positionV>
            <wp:extent cx="2228850" cy="66929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36D" w:rsidRPr="005A336D">
        <w:rPr>
          <w:rFonts w:ascii="Calibri" w:eastAsia="Cambria" w:hAnsi="Calibri"/>
          <w:b/>
          <w:sz w:val="28"/>
          <w:szCs w:val="28"/>
        </w:rPr>
        <w:t>Policy Document</w:t>
      </w:r>
    </w:p>
    <w:p w:rsidR="00C90013" w:rsidRPr="004001DA" w:rsidRDefault="0007534C" w:rsidP="00C90013">
      <w:pPr>
        <w:jc w:val="both"/>
        <w:rPr>
          <w:rFonts w:ascii="Calibri" w:hAnsi="Calibri" w:cs="Arial"/>
          <w:b/>
          <w:sz w:val="36"/>
          <w:szCs w:val="36"/>
        </w:rPr>
      </w:pPr>
      <w:r>
        <w:rPr>
          <w:rFonts w:ascii="Calibri" w:hAnsi="Calibri" w:cs="Arial"/>
          <w:b/>
          <w:sz w:val="36"/>
          <w:szCs w:val="36"/>
        </w:rPr>
        <w:t xml:space="preserve"> </w:t>
      </w:r>
    </w:p>
    <w:p w:rsidR="00C90013" w:rsidRPr="00DA0087" w:rsidRDefault="00C90013" w:rsidP="00124501">
      <w:pPr>
        <w:jc w:val="both"/>
        <w:rPr>
          <w:rFonts w:ascii="Calibri" w:hAnsi="Calibri" w:cs="Arial"/>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61"/>
      </w:tblGrid>
      <w:tr w:rsidR="00A70B01" w:rsidRPr="008E752C" w:rsidTr="001D0CAE">
        <w:tc>
          <w:tcPr>
            <w:tcW w:w="172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Policy Title:</w:t>
            </w:r>
          </w:p>
        </w:tc>
        <w:tc>
          <w:tcPr>
            <w:tcW w:w="8161" w:type="dxa"/>
          </w:tcPr>
          <w:p w:rsidR="00A70B01" w:rsidRPr="008E752C" w:rsidRDefault="003410EC" w:rsidP="00E030E8">
            <w:pPr>
              <w:jc w:val="both"/>
              <w:rPr>
                <w:rFonts w:ascii="Calibri" w:hAnsi="Calibri" w:cs="Arial"/>
                <w:b/>
                <w:sz w:val="22"/>
                <w:szCs w:val="22"/>
              </w:rPr>
            </w:pPr>
            <w:r>
              <w:rPr>
                <w:rFonts w:ascii="Calibri" w:hAnsi="Calibri" w:cs="Arial"/>
                <w:b/>
                <w:sz w:val="22"/>
                <w:szCs w:val="22"/>
              </w:rPr>
              <w:t>Risk Management</w:t>
            </w:r>
            <w:r w:rsidR="00A70B01" w:rsidRPr="008E752C">
              <w:rPr>
                <w:rFonts w:ascii="Calibri" w:hAnsi="Calibri" w:cs="Arial"/>
                <w:b/>
                <w:sz w:val="22"/>
                <w:szCs w:val="22"/>
              </w:rPr>
              <w:t xml:space="preserve"> Policy</w:t>
            </w:r>
          </w:p>
        </w:tc>
      </w:tr>
      <w:tr w:rsidR="00A70B01" w:rsidRPr="008E752C" w:rsidTr="001D0CAE">
        <w:tc>
          <w:tcPr>
            <w:tcW w:w="172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Policy Type:</w:t>
            </w:r>
          </w:p>
        </w:tc>
        <w:tc>
          <w:tcPr>
            <w:tcW w:w="8161" w:type="dxa"/>
          </w:tcPr>
          <w:p w:rsidR="00A70B01" w:rsidRPr="008E752C" w:rsidRDefault="003410EC" w:rsidP="00124501">
            <w:pPr>
              <w:jc w:val="both"/>
              <w:rPr>
                <w:rFonts w:ascii="Calibri" w:hAnsi="Calibri" w:cs="Arial"/>
                <w:sz w:val="22"/>
                <w:szCs w:val="22"/>
              </w:rPr>
            </w:pPr>
            <w:r>
              <w:rPr>
                <w:rFonts w:ascii="Calibri" w:hAnsi="Calibri" w:cs="Arial"/>
                <w:sz w:val="22"/>
                <w:szCs w:val="22"/>
              </w:rPr>
              <w:t>Governance</w:t>
            </w:r>
          </w:p>
        </w:tc>
      </w:tr>
      <w:tr w:rsidR="00383698" w:rsidRPr="008E752C" w:rsidTr="001D0CAE">
        <w:tc>
          <w:tcPr>
            <w:tcW w:w="1728" w:type="dxa"/>
          </w:tcPr>
          <w:p w:rsidR="00383698" w:rsidRPr="008E752C" w:rsidRDefault="00383698" w:rsidP="00124501">
            <w:pPr>
              <w:jc w:val="both"/>
              <w:rPr>
                <w:rFonts w:ascii="Calibri" w:hAnsi="Calibri" w:cs="Arial"/>
                <w:b/>
                <w:sz w:val="22"/>
                <w:szCs w:val="22"/>
              </w:rPr>
            </w:pPr>
            <w:r>
              <w:rPr>
                <w:rFonts w:ascii="Calibri" w:hAnsi="Calibri" w:cs="Arial"/>
                <w:b/>
                <w:sz w:val="22"/>
                <w:szCs w:val="22"/>
              </w:rPr>
              <w:t>Policy Number:</w:t>
            </w:r>
          </w:p>
        </w:tc>
        <w:tc>
          <w:tcPr>
            <w:tcW w:w="8161" w:type="dxa"/>
          </w:tcPr>
          <w:p w:rsidR="00383698" w:rsidRDefault="003410EC" w:rsidP="00124501">
            <w:pPr>
              <w:jc w:val="both"/>
              <w:rPr>
                <w:rFonts w:ascii="Calibri" w:hAnsi="Calibri" w:cs="Arial"/>
                <w:sz w:val="22"/>
                <w:szCs w:val="22"/>
              </w:rPr>
            </w:pPr>
            <w:r>
              <w:rPr>
                <w:rFonts w:ascii="Calibri" w:hAnsi="Calibri" w:cs="Arial"/>
                <w:sz w:val="22"/>
                <w:szCs w:val="22"/>
              </w:rPr>
              <w:t>G002</w:t>
            </w:r>
          </w:p>
        </w:tc>
      </w:tr>
      <w:tr w:rsidR="00A70B01" w:rsidRPr="008E752C" w:rsidTr="001D0CAE">
        <w:tc>
          <w:tcPr>
            <w:tcW w:w="172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Author:</w:t>
            </w:r>
          </w:p>
        </w:tc>
        <w:tc>
          <w:tcPr>
            <w:tcW w:w="8161" w:type="dxa"/>
          </w:tcPr>
          <w:p w:rsidR="00A70B01" w:rsidRPr="008E752C" w:rsidRDefault="003410EC" w:rsidP="00124501">
            <w:pPr>
              <w:jc w:val="both"/>
              <w:rPr>
                <w:rFonts w:ascii="Calibri" w:hAnsi="Calibri" w:cs="Arial"/>
                <w:sz w:val="22"/>
                <w:szCs w:val="22"/>
              </w:rPr>
            </w:pPr>
            <w:r>
              <w:rPr>
                <w:rFonts w:ascii="Calibri" w:hAnsi="Calibri" w:cs="Arial"/>
                <w:sz w:val="22"/>
                <w:szCs w:val="22"/>
              </w:rPr>
              <w:t>Paul Vear</w:t>
            </w:r>
          </w:p>
        </w:tc>
      </w:tr>
      <w:tr w:rsidR="00A70B01" w:rsidRPr="008E752C" w:rsidTr="001D0CAE">
        <w:tc>
          <w:tcPr>
            <w:tcW w:w="172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Author Title:</w:t>
            </w:r>
          </w:p>
        </w:tc>
        <w:tc>
          <w:tcPr>
            <w:tcW w:w="8161" w:type="dxa"/>
          </w:tcPr>
          <w:p w:rsidR="00A70B01" w:rsidRPr="008E752C" w:rsidRDefault="00367B8F" w:rsidP="00124501">
            <w:pPr>
              <w:jc w:val="both"/>
              <w:rPr>
                <w:rFonts w:ascii="Calibri" w:hAnsi="Calibri" w:cs="Arial"/>
                <w:sz w:val="22"/>
                <w:szCs w:val="22"/>
              </w:rPr>
            </w:pPr>
            <w:r>
              <w:rPr>
                <w:rFonts w:ascii="Calibri" w:hAnsi="Calibri" w:cs="Arial"/>
                <w:sz w:val="22"/>
                <w:szCs w:val="22"/>
              </w:rPr>
              <w:t>Executive Director</w:t>
            </w:r>
          </w:p>
        </w:tc>
      </w:tr>
      <w:tr w:rsidR="00A70B01" w:rsidRPr="008E752C" w:rsidTr="001D0CAE">
        <w:tc>
          <w:tcPr>
            <w:tcW w:w="172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Date Written:</w:t>
            </w:r>
          </w:p>
        </w:tc>
        <w:tc>
          <w:tcPr>
            <w:tcW w:w="8161" w:type="dxa"/>
          </w:tcPr>
          <w:p w:rsidR="00A70B01" w:rsidRPr="008E752C" w:rsidRDefault="003410EC" w:rsidP="00CB3E75">
            <w:pPr>
              <w:jc w:val="both"/>
              <w:rPr>
                <w:rFonts w:ascii="Calibri" w:hAnsi="Calibri" w:cs="Arial"/>
                <w:sz w:val="22"/>
                <w:szCs w:val="22"/>
              </w:rPr>
            </w:pPr>
            <w:r>
              <w:rPr>
                <w:rFonts w:ascii="Calibri" w:hAnsi="Calibri" w:cs="Arial"/>
                <w:sz w:val="22"/>
                <w:szCs w:val="22"/>
              </w:rPr>
              <w:t>20/09/2004</w:t>
            </w:r>
          </w:p>
        </w:tc>
      </w:tr>
      <w:tr w:rsidR="00A70B01" w:rsidRPr="008E752C" w:rsidTr="001D0CAE">
        <w:tc>
          <w:tcPr>
            <w:tcW w:w="172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Approved:</w:t>
            </w:r>
          </w:p>
        </w:tc>
        <w:tc>
          <w:tcPr>
            <w:tcW w:w="8161" w:type="dxa"/>
          </w:tcPr>
          <w:p w:rsidR="00A70B01" w:rsidRPr="008E752C" w:rsidRDefault="003410EC" w:rsidP="00124501">
            <w:pPr>
              <w:jc w:val="both"/>
              <w:rPr>
                <w:rFonts w:ascii="Calibri" w:hAnsi="Calibri" w:cs="Arial"/>
                <w:sz w:val="22"/>
                <w:szCs w:val="22"/>
              </w:rPr>
            </w:pPr>
            <w:r>
              <w:rPr>
                <w:rFonts w:ascii="Calibri" w:hAnsi="Calibri" w:cs="Arial"/>
                <w:sz w:val="22"/>
                <w:szCs w:val="22"/>
              </w:rPr>
              <w:t>20/09/2004</w:t>
            </w:r>
            <w:r w:rsidR="008A020A">
              <w:rPr>
                <w:rFonts w:ascii="Calibri" w:hAnsi="Calibri" w:cs="Arial"/>
                <w:sz w:val="22"/>
                <w:szCs w:val="22"/>
              </w:rPr>
              <w:t xml:space="preserve"> </w:t>
            </w:r>
          </w:p>
        </w:tc>
      </w:tr>
    </w:tbl>
    <w:p w:rsidR="00A70B01" w:rsidRPr="008E752C" w:rsidRDefault="00A70B01" w:rsidP="00124501">
      <w:pPr>
        <w:jc w:val="both"/>
        <w:rPr>
          <w:rFonts w:ascii="Calibri" w:hAnsi="Calibri" w:cs="Arial"/>
          <w:b/>
          <w:sz w:val="22"/>
          <w:szCs w:val="22"/>
        </w:rPr>
      </w:pPr>
    </w:p>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Updates to Policy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3686"/>
        <w:gridCol w:w="3260"/>
      </w:tblGrid>
      <w:tr w:rsidR="00A70B01" w:rsidRPr="008E752C" w:rsidTr="00B818DF">
        <w:tc>
          <w:tcPr>
            <w:tcW w:w="1384"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Update No.</w:t>
            </w:r>
          </w:p>
        </w:tc>
        <w:tc>
          <w:tcPr>
            <w:tcW w:w="1559"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Approval Date</w:t>
            </w:r>
          </w:p>
        </w:tc>
        <w:tc>
          <w:tcPr>
            <w:tcW w:w="3686"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Nature of Amendment</w:t>
            </w:r>
          </w:p>
        </w:tc>
        <w:tc>
          <w:tcPr>
            <w:tcW w:w="326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Update Author</w:t>
            </w:r>
          </w:p>
        </w:tc>
      </w:tr>
      <w:tr w:rsidR="00A814EE" w:rsidRPr="008E752C" w:rsidTr="00B818DF">
        <w:tc>
          <w:tcPr>
            <w:tcW w:w="1384" w:type="dxa"/>
          </w:tcPr>
          <w:p w:rsidR="00A814EE" w:rsidRPr="008E752C" w:rsidRDefault="00EF5A18" w:rsidP="00124501">
            <w:pPr>
              <w:jc w:val="both"/>
              <w:rPr>
                <w:rFonts w:ascii="Calibri" w:hAnsi="Calibri" w:cs="Arial"/>
                <w:sz w:val="22"/>
                <w:szCs w:val="22"/>
              </w:rPr>
            </w:pPr>
            <w:r>
              <w:rPr>
                <w:rFonts w:ascii="Calibri" w:hAnsi="Calibri" w:cs="Arial"/>
                <w:sz w:val="22"/>
                <w:szCs w:val="22"/>
              </w:rPr>
              <w:t>1</w:t>
            </w:r>
          </w:p>
        </w:tc>
        <w:tc>
          <w:tcPr>
            <w:tcW w:w="1559" w:type="dxa"/>
          </w:tcPr>
          <w:p w:rsidR="00A814EE" w:rsidRPr="008E752C" w:rsidRDefault="003410EC" w:rsidP="00124501">
            <w:pPr>
              <w:jc w:val="both"/>
              <w:rPr>
                <w:rFonts w:ascii="Calibri" w:hAnsi="Calibri" w:cs="Arial"/>
                <w:sz w:val="22"/>
                <w:szCs w:val="22"/>
              </w:rPr>
            </w:pPr>
            <w:r>
              <w:rPr>
                <w:rFonts w:ascii="Calibri" w:hAnsi="Calibri" w:cs="Arial"/>
                <w:sz w:val="22"/>
                <w:szCs w:val="22"/>
              </w:rPr>
              <w:t>22/02/2016</w:t>
            </w:r>
          </w:p>
        </w:tc>
        <w:tc>
          <w:tcPr>
            <w:tcW w:w="3686" w:type="dxa"/>
          </w:tcPr>
          <w:p w:rsidR="00A814EE" w:rsidRPr="008E752C" w:rsidRDefault="003410EC" w:rsidP="00EF5A18">
            <w:pPr>
              <w:jc w:val="both"/>
              <w:rPr>
                <w:rFonts w:ascii="Calibri" w:hAnsi="Calibri" w:cs="Arial"/>
                <w:sz w:val="22"/>
                <w:szCs w:val="22"/>
              </w:rPr>
            </w:pPr>
            <w:r>
              <w:rPr>
                <w:rFonts w:ascii="Calibri" w:hAnsi="Calibri" w:cs="Arial"/>
                <w:sz w:val="22"/>
                <w:szCs w:val="22"/>
              </w:rPr>
              <w:t>Total review, changes to ISO standards</w:t>
            </w:r>
          </w:p>
        </w:tc>
        <w:tc>
          <w:tcPr>
            <w:tcW w:w="3260" w:type="dxa"/>
          </w:tcPr>
          <w:p w:rsidR="00A814EE" w:rsidRPr="008E752C" w:rsidRDefault="00EF5A18" w:rsidP="00124501">
            <w:pPr>
              <w:jc w:val="both"/>
              <w:rPr>
                <w:rFonts w:ascii="Calibri" w:hAnsi="Calibri" w:cs="Arial"/>
                <w:sz w:val="22"/>
                <w:szCs w:val="22"/>
              </w:rPr>
            </w:pPr>
            <w:r>
              <w:rPr>
                <w:rFonts w:ascii="Calibri" w:hAnsi="Calibri" w:cs="Arial"/>
                <w:sz w:val="22"/>
                <w:szCs w:val="22"/>
              </w:rPr>
              <w:t>Fiona Young</w:t>
            </w:r>
            <w:r w:rsidR="003410EC">
              <w:rPr>
                <w:rFonts w:ascii="Calibri" w:hAnsi="Calibri" w:cs="Arial"/>
                <w:sz w:val="22"/>
                <w:szCs w:val="22"/>
              </w:rPr>
              <w:t>, Matthew O’Brien</w:t>
            </w:r>
            <w:r w:rsidR="008A020A">
              <w:rPr>
                <w:rFonts w:ascii="Calibri" w:hAnsi="Calibri" w:cs="Arial"/>
                <w:sz w:val="22"/>
                <w:szCs w:val="22"/>
              </w:rPr>
              <w:t xml:space="preserve"> </w:t>
            </w:r>
          </w:p>
        </w:tc>
      </w:tr>
      <w:tr w:rsidR="00A814EE" w:rsidRPr="008E752C" w:rsidTr="00B818DF">
        <w:tc>
          <w:tcPr>
            <w:tcW w:w="1384" w:type="dxa"/>
          </w:tcPr>
          <w:p w:rsidR="00A814EE" w:rsidRPr="008E752C" w:rsidRDefault="00A814EE" w:rsidP="00124501">
            <w:pPr>
              <w:jc w:val="both"/>
              <w:rPr>
                <w:rFonts w:ascii="Calibri" w:hAnsi="Calibri" w:cs="Arial"/>
                <w:sz w:val="22"/>
                <w:szCs w:val="22"/>
              </w:rPr>
            </w:pPr>
          </w:p>
        </w:tc>
        <w:tc>
          <w:tcPr>
            <w:tcW w:w="1559" w:type="dxa"/>
          </w:tcPr>
          <w:p w:rsidR="00A814EE" w:rsidRPr="008E752C" w:rsidRDefault="00A814EE" w:rsidP="00124501">
            <w:pPr>
              <w:jc w:val="both"/>
              <w:rPr>
                <w:rFonts w:ascii="Calibri" w:hAnsi="Calibri" w:cs="Arial"/>
                <w:sz w:val="22"/>
                <w:szCs w:val="22"/>
              </w:rPr>
            </w:pPr>
          </w:p>
        </w:tc>
        <w:tc>
          <w:tcPr>
            <w:tcW w:w="3686" w:type="dxa"/>
          </w:tcPr>
          <w:p w:rsidR="00A814EE" w:rsidRPr="008E752C" w:rsidRDefault="00A814EE" w:rsidP="00124501">
            <w:pPr>
              <w:jc w:val="both"/>
              <w:rPr>
                <w:rFonts w:ascii="Calibri" w:hAnsi="Calibri" w:cs="Arial"/>
                <w:sz w:val="22"/>
                <w:szCs w:val="22"/>
              </w:rPr>
            </w:pPr>
          </w:p>
        </w:tc>
        <w:tc>
          <w:tcPr>
            <w:tcW w:w="3260" w:type="dxa"/>
          </w:tcPr>
          <w:p w:rsidR="00A814EE" w:rsidRPr="008E752C" w:rsidRDefault="00A814EE" w:rsidP="00124501">
            <w:pPr>
              <w:jc w:val="both"/>
              <w:rPr>
                <w:rFonts w:ascii="Calibri" w:hAnsi="Calibri" w:cs="Arial"/>
                <w:sz w:val="22"/>
                <w:szCs w:val="22"/>
              </w:rPr>
            </w:pPr>
          </w:p>
        </w:tc>
      </w:tr>
      <w:tr w:rsidR="00A814EE" w:rsidRPr="008E752C" w:rsidTr="00B818DF">
        <w:tc>
          <w:tcPr>
            <w:tcW w:w="1384" w:type="dxa"/>
          </w:tcPr>
          <w:p w:rsidR="00A814EE" w:rsidRPr="008E752C" w:rsidRDefault="00A814EE" w:rsidP="00124501">
            <w:pPr>
              <w:jc w:val="both"/>
              <w:rPr>
                <w:rFonts w:ascii="Calibri" w:hAnsi="Calibri" w:cs="Arial"/>
                <w:sz w:val="22"/>
                <w:szCs w:val="22"/>
              </w:rPr>
            </w:pPr>
          </w:p>
        </w:tc>
        <w:tc>
          <w:tcPr>
            <w:tcW w:w="1559" w:type="dxa"/>
          </w:tcPr>
          <w:p w:rsidR="00A814EE" w:rsidRPr="008E752C" w:rsidRDefault="00A814EE" w:rsidP="00124501">
            <w:pPr>
              <w:jc w:val="both"/>
              <w:rPr>
                <w:rFonts w:ascii="Calibri" w:hAnsi="Calibri" w:cs="Arial"/>
                <w:sz w:val="22"/>
                <w:szCs w:val="22"/>
              </w:rPr>
            </w:pPr>
          </w:p>
        </w:tc>
        <w:tc>
          <w:tcPr>
            <w:tcW w:w="3686" w:type="dxa"/>
          </w:tcPr>
          <w:p w:rsidR="00A814EE" w:rsidRPr="008E752C" w:rsidRDefault="00A814EE" w:rsidP="005A336D">
            <w:pPr>
              <w:jc w:val="both"/>
              <w:rPr>
                <w:rFonts w:ascii="Calibri" w:hAnsi="Calibri" w:cs="Arial"/>
                <w:sz w:val="22"/>
                <w:szCs w:val="22"/>
              </w:rPr>
            </w:pPr>
          </w:p>
        </w:tc>
        <w:tc>
          <w:tcPr>
            <w:tcW w:w="3260" w:type="dxa"/>
          </w:tcPr>
          <w:p w:rsidR="00A814EE" w:rsidRPr="008E752C" w:rsidRDefault="00A814EE" w:rsidP="00124501">
            <w:pPr>
              <w:jc w:val="both"/>
              <w:rPr>
                <w:rFonts w:ascii="Calibri" w:hAnsi="Calibri" w:cs="Arial"/>
                <w:sz w:val="22"/>
                <w:szCs w:val="22"/>
              </w:rPr>
            </w:pPr>
          </w:p>
        </w:tc>
      </w:tr>
      <w:tr w:rsidR="000C1A0A" w:rsidRPr="008E752C" w:rsidTr="00B818DF">
        <w:tc>
          <w:tcPr>
            <w:tcW w:w="1384" w:type="dxa"/>
          </w:tcPr>
          <w:p w:rsidR="000C1A0A" w:rsidRDefault="000C1A0A" w:rsidP="00124501">
            <w:pPr>
              <w:jc w:val="both"/>
              <w:rPr>
                <w:rFonts w:ascii="Calibri" w:hAnsi="Calibri" w:cs="Arial"/>
                <w:sz w:val="22"/>
                <w:szCs w:val="22"/>
              </w:rPr>
            </w:pPr>
          </w:p>
        </w:tc>
        <w:tc>
          <w:tcPr>
            <w:tcW w:w="1559" w:type="dxa"/>
          </w:tcPr>
          <w:p w:rsidR="000C1A0A" w:rsidRDefault="000C1A0A" w:rsidP="00124501">
            <w:pPr>
              <w:jc w:val="both"/>
              <w:rPr>
                <w:rFonts w:ascii="Calibri" w:hAnsi="Calibri" w:cs="Arial"/>
                <w:sz w:val="22"/>
                <w:szCs w:val="22"/>
              </w:rPr>
            </w:pPr>
          </w:p>
        </w:tc>
        <w:tc>
          <w:tcPr>
            <w:tcW w:w="3686" w:type="dxa"/>
          </w:tcPr>
          <w:p w:rsidR="000C1A0A" w:rsidRDefault="000C1A0A" w:rsidP="000C1A0A">
            <w:pPr>
              <w:jc w:val="both"/>
              <w:rPr>
                <w:rFonts w:ascii="Calibri" w:hAnsi="Calibri" w:cs="Arial"/>
                <w:sz w:val="22"/>
                <w:szCs w:val="22"/>
              </w:rPr>
            </w:pPr>
          </w:p>
        </w:tc>
        <w:tc>
          <w:tcPr>
            <w:tcW w:w="3260" w:type="dxa"/>
          </w:tcPr>
          <w:p w:rsidR="000C1A0A" w:rsidRDefault="000C1A0A" w:rsidP="00124501">
            <w:pPr>
              <w:jc w:val="both"/>
              <w:rPr>
                <w:rFonts w:ascii="Calibri" w:hAnsi="Calibri" w:cs="Arial"/>
                <w:sz w:val="22"/>
                <w:szCs w:val="22"/>
              </w:rPr>
            </w:pPr>
          </w:p>
        </w:tc>
      </w:tr>
    </w:tbl>
    <w:p w:rsidR="00A70B01" w:rsidRPr="008E752C" w:rsidRDefault="00A70B01" w:rsidP="00124501">
      <w:pPr>
        <w:jc w:val="both"/>
        <w:rPr>
          <w:rFonts w:ascii="Calibri" w:hAnsi="Calibri" w:cs="Arial"/>
          <w:b/>
          <w:sz w:val="22"/>
          <w:szCs w:val="22"/>
        </w:rPr>
      </w:pPr>
    </w:p>
    <w:tbl>
      <w:tblPr>
        <w:tblW w:w="9889" w:type="dxa"/>
        <w:tblBorders>
          <w:top w:val="single" w:sz="24" w:space="0" w:color="auto"/>
          <w:insideH w:val="single" w:sz="24" w:space="0" w:color="auto"/>
          <w:insideV w:val="single" w:sz="24" w:space="0" w:color="auto"/>
        </w:tblBorders>
        <w:tblLook w:val="01E0" w:firstRow="1" w:lastRow="1" w:firstColumn="1" w:lastColumn="1" w:noHBand="0" w:noVBand="0"/>
      </w:tblPr>
      <w:tblGrid>
        <w:gridCol w:w="9889"/>
      </w:tblGrid>
      <w:tr w:rsidR="00A70B01" w:rsidRPr="0007534C" w:rsidTr="001D0CAE">
        <w:tc>
          <w:tcPr>
            <w:tcW w:w="9889" w:type="dxa"/>
          </w:tcPr>
          <w:p w:rsidR="00A70B01" w:rsidRPr="0007534C" w:rsidRDefault="003410EC" w:rsidP="00E030E8">
            <w:pPr>
              <w:tabs>
                <w:tab w:val="left" w:pos="5340"/>
              </w:tabs>
              <w:jc w:val="both"/>
              <w:rPr>
                <w:rFonts w:ascii="Calibri" w:hAnsi="Calibri" w:cs="Arial"/>
                <w:sz w:val="22"/>
                <w:szCs w:val="22"/>
              </w:rPr>
            </w:pPr>
            <w:r>
              <w:rPr>
                <w:rFonts w:ascii="Calibri" w:hAnsi="Calibri" w:cs="Arial"/>
                <w:sz w:val="22"/>
                <w:szCs w:val="22"/>
              </w:rPr>
              <w:t>Risk Management</w:t>
            </w:r>
            <w:r w:rsidR="00A70B01" w:rsidRPr="0007534C">
              <w:rPr>
                <w:rFonts w:ascii="Calibri" w:hAnsi="Calibri" w:cs="Arial"/>
                <w:sz w:val="22"/>
                <w:szCs w:val="22"/>
              </w:rPr>
              <w:t xml:space="preserve"> Policy</w:t>
            </w:r>
            <w:r w:rsidR="00A70B01" w:rsidRPr="0007534C">
              <w:rPr>
                <w:rFonts w:ascii="Calibri" w:hAnsi="Calibri" w:cs="Arial"/>
                <w:sz w:val="22"/>
                <w:szCs w:val="22"/>
              </w:rPr>
              <w:tab/>
            </w:r>
          </w:p>
        </w:tc>
      </w:tr>
      <w:tr w:rsidR="00A70B01" w:rsidRPr="008E752C" w:rsidTr="001D0CAE">
        <w:tc>
          <w:tcPr>
            <w:tcW w:w="9889" w:type="dxa"/>
            <w:tcBorders>
              <w:bottom w:val="nil"/>
            </w:tcBorders>
          </w:tcPr>
          <w:p w:rsidR="00A70B01" w:rsidRPr="008E752C" w:rsidRDefault="00A70B01" w:rsidP="00124501">
            <w:pPr>
              <w:tabs>
                <w:tab w:val="left" w:pos="5340"/>
              </w:tabs>
              <w:jc w:val="both"/>
              <w:rPr>
                <w:rFonts w:ascii="Calibri" w:hAnsi="Calibri" w:cs="Arial"/>
                <w:sz w:val="22"/>
                <w:szCs w:val="22"/>
              </w:rPr>
            </w:pPr>
          </w:p>
        </w:tc>
      </w:tr>
      <w:tr w:rsidR="00A70B01" w:rsidRPr="008E752C" w:rsidTr="001D0CAE">
        <w:tc>
          <w:tcPr>
            <w:tcW w:w="9889" w:type="dxa"/>
            <w:tcBorders>
              <w:top w:val="nil"/>
              <w:bottom w:val="single" w:sz="12" w:space="0" w:color="auto"/>
            </w:tcBorders>
          </w:tcPr>
          <w:p w:rsidR="00A70B01" w:rsidRPr="008E752C" w:rsidRDefault="00A70B01" w:rsidP="00124501">
            <w:pPr>
              <w:tabs>
                <w:tab w:val="left" w:pos="1425"/>
                <w:tab w:val="left" w:pos="2385"/>
              </w:tabs>
              <w:jc w:val="both"/>
              <w:rPr>
                <w:rFonts w:ascii="Calibri" w:hAnsi="Calibri" w:cs="Arial"/>
                <w:b/>
                <w:sz w:val="22"/>
                <w:szCs w:val="22"/>
              </w:rPr>
            </w:pPr>
            <w:r w:rsidRPr="008E752C">
              <w:rPr>
                <w:rFonts w:ascii="Calibri" w:hAnsi="Calibri" w:cs="Arial"/>
                <w:b/>
                <w:sz w:val="22"/>
                <w:szCs w:val="22"/>
              </w:rPr>
              <w:t>Scope</w:t>
            </w:r>
          </w:p>
          <w:p w:rsidR="00A70B01" w:rsidRPr="008E752C" w:rsidRDefault="00A70B01" w:rsidP="00124501">
            <w:pPr>
              <w:tabs>
                <w:tab w:val="left" w:pos="1425"/>
                <w:tab w:val="left" w:pos="2385"/>
              </w:tabs>
              <w:jc w:val="both"/>
              <w:rPr>
                <w:rFonts w:ascii="Calibri" w:hAnsi="Calibri" w:cs="Arial"/>
                <w:b/>
                <w:sz w:val="22"/>
                <w:szCs w:val="22"/>
              </w:rPr>
            </w:pPr>
          </w:p>
          <w:p w:rsidR="00A70B01" w:rsidRDefault="00A70B01" w:rsidP="00124501">
            <w:pPr>
              <w:tabs>
                <w:tab w:val="left" w:pos="1425"/>
                <w:tab w:val="left" w:pos="2385"/>
              </w:tabs>
              <w:jc w:val="both"/>
              <w:rPr>
                <w:rFonts w:ascii="Calibri" w:hAnsi="Calibri" w:cs="Arial"/>
                <w:sz w:val="22"/>
                <w:szCs w:val="22"/>
              </w:rPr>
            </w:pPr>
            <w:r w:rsidRPr="008E752C">
              <w:rPr>
                <w:rFonts w:ascii="Calibri" w:hAnsi="Calibri" w:cs="Arial"/>
                <w:sz w:val="22"/>
                <w:szCs w:val="22"/>
              </w:rPr>
              <w:t xml:space="preserve">The </w:t>
            </w:r>
            <w:r w:rsidR="003410EC">
              <w:rPr>
                <w:rFonts w:ascii="Calibri" w:hAnsi="Calibri" w:cs="Arial"/>
                <w:sz w:val="22"/>
                <w:szCs w:val="22"/>
              </w:rPr>
              <w:t>Risk Management</w:t>
            </w:r>
            <w:r w:rsidRPr="008E752C">
              <w:rPr>
                <w:rFonts w:ascii="Calibri" w:hAnsi="Calibri" w:cs="Arial"/>
                <w:sz w:val="22"/>
                <w:szCs w:val="22"/>
              </w:rPr>
              <w:t xml:space="preserve"> Policy and associated procedures applies to </w:t>
            </w:r>
            <w:r w:rsidR="005A336D">
              <w:rPr>
                <w:rFonts w:ascii="Calibri" w:hAnsi="Calibri" w:cs="Arial"/>
                <w:sz w:val="22"/>
                <w:szCs w:val="22"/>
              </w:rPr>
              <w:t>Squash &amp; Racquetball Victoria</w:t>
            </w:r>
            <w:r w:rsidRPr="008E752C">
              <w:rPr>
                <w:rFonts w:ascii="Calibri" w:hAnsi="Calibri" w:cs="Arial"/>
                <w:sz w:val="22"/>
                <w:szCs w:val="22"/>
              </w:rPr>
              <w:t xml:space="preserve"> Board, employees</w:t>
            </w:r>
            <w:r w:rsidR="00E2256F" w:rsidRPr="008E752C">
              <w:rPr>
                <w:rFonts w:ascii="Calibri" w:hAnsi="Calibri" w:cs="Arial"/>
                <w:sz w:val="22"/>
                <w:szCs w:val="22"/>
              </w:rPr>
              <w:t xml:space="preserve">, </w:t>
            </w:r>
            <w:r w:rsidRPr="008E752C">
              <w:rPr>
                <w:rFonts w:ascii="Calibri" w:hAnsi="Calibri" w:cs="Arial"/>
                <w:sz w:val="22"/>
                <w:szCs w:val="22"/>
              </w:rPr>
              <w:t>members</w:t>
            </w:r>
            <w:r w:rsidR="00E2256F" w:rsidRPr="008E752C">
              <w:rPr>
                <w:rFonts w:ascii="Calibri" w:hAnsi="Calibri" w:cs="Arial"/>
                <w:sz w:val="22"/>
                <w:szCs w:val="22"/>
              </w:rPr>
              <w:t xml:space="preserve"> and all appointed personnel.</w:t>
            </w:r>
          </w:p>
          <w:p w:rsidR="00126EEA" w:rsidRDefault="00126EEA" w:rsidP="00124501">
            <w:pPr>
              <w:tabs>
                <w:tab w:val="left" w:pos="1425"/>
                <w:tab w:val="left" w:pos="2385"/>
              </w:tabs>
              <w:jc w:val="both"/>
              <w:rPr>
                <w:rFonts w:ascii="Calibri" w:hAnsi="Calibri" w:cs="Arial"/>
                <w:sz w:val="22"/>
                <w:szCs w:val="22"/>
              </w:rPr>
            </w:pPr>
          </w:p>
          <w:p w:rsidR="00126EEA" w:rsidRPr="008E752C" w:rsidRDefault="00126EEA" w:rsidP="00124501">
            <w:pPr>
              <w:tabs>
                <w:tab w:val="left" w:pos="1425"/>
                <w:tab w:val="left" w:pos="2385"/>
              </w:tabs>
              <w:jc w:val="both"/>
              <w:rPr>
                <w:rFonts w:ascii="Calibri" w:hAnsi="Calibri" w:cs="Arial"/>
                <w:sz w:val="22"/>
                <w:szCs w:val="22"/>
              </w:rPr>
            </w:pPr>
            <w:r>
              <w:rPr>
                <w:rFonts w:ascii="Calibri" w:hAnsi="Calibri" w:cs="Arial"/>
                <w:sz w:val="22"/>
                <w:szCs w:val="22"/>
              </w:rPr>
              <w:t>This document to be read in conjunction with Appendix 1 - Risk Matrix</w:t>
            </w:r>
          </w:p>
          <w:p w:rsidR="00A70B01" w:rsidRPr="008E752C" w:rsidRDefault="00A70B01" w:rsidP="00124501">
            <w:pPr>
              <w:tabs>
                <w:tab w:val="left" w:pos="1425"/>
                <w:tab w:val="left" w:pos="2385"/>
              </w:tabs>
              <w:jc w:val="both"/>
              <w:rPr>
                <w:rFonts w:ascii="Calibri" w:hAnsi="Calibri" w:cs="Arial"/>
                <w:b/>
                <w:sz w:val="22"/>
                <w:szCs w:val="22"/>
              </w:rPr>
            </w:pPr>
          </w:p>
        </w:tc>
      </w:tr>
    </w:tbl>
    <w:p w:rsidR="002B2B7A" w:rsidRPr="008E752C" w:rsidRDefault="002B2B7A" w:rsidP="00124501">
      <w:pPr>
        <w:pStyle w:val="Heading1"/>
        <w:spacing w:before="0" w:after="0"/>
        <w:jc w:val="both"/>
        <w:rPr>
          <w:rFonts w:ascii="Calibri" w:hAnsi="Calibri"/>
          <w:sz w:val="22"/>
          <w:szCs w:val="22"/>
        </w:rPr>
      </w:pPr>
    </w:p>
    <w:p w:rsidR="004D42A6" w:rsidRPr="004D42A6" w:rsidRDefault="004D42A6" w:rsidP="003410EC">
      <w:pPr>
        <w:pStyle w:val="HeadingA"/>
        <w:keepNext w:val="0"/>
        <w:numPr>
          <w:ilvl w:val="0"/>
          <w:numId w:val="0"/>
        </w:numPr>
        <w:jc w:val="both"/>
        <w:outlineLvl w:val="9"/>
        <w:rPr>
          <w:rFonts w:ascii="Calibri" w:hAnsi="Calibri" w:cs="Arial"/>
          <w:bCs/>
          <w:szCs w:val="22"/>
          <w:u w:val="none"/>
        </w:rPr>
      </w:pPr>
      <w:r>
        <w:rPr>
          <w:rFonts w:ascii="Calibri" w:hAnsi="Calibri" w:cs="Arial"/>
          <w:bCs/>
          <w:szCs w:val="22"/>
          <w:u w:val="none"/>
        </w:rPr>
        <w:t>Policy</w:t>
      </w:r>
    </w:p>
    <w:p w:rsidR="00A70B01" w:rsidRDefault="001B6F3A" w:rsidP="003410EC">
      <w:pPr>
        <w:pStyle w:val="HeadingA"/>
        <w:keepNext w:val="0"/>
        <w:numPr>
          <w:ilvl w:val="0"/>
          <w:numId w:val="0"/>
        </w:numPr>
        <w:jc w:val="both"/>
        <w:outlineLvl w:val="9"/>
        <w:rPr>
          <w:rFonts w:ascii="Calibri" w:hAnsi="Calibri" w:cs="Arial"/>
          <w:b w:val="0"/>
          <w:bCs/>
          <w:szCs w:val="22"/>
          <w:u w:val="none"/>
        </w:rPr>
      </w:pPr>
      <w:r w:rsidRPr="008E752C">
        <w:rPr>
          <w:rFonts w:ascii="Calibri" w:hAnsi="Calibri" w:cs="Arial"/>
          <w:b w:val="0"/>
          <w:bCs/>
          <w:szCs w:val="22"/>
          <w:u w:val="none"/>
        </w:rPr>
        <w:t xml:space="preserve">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b/>
          <w:bCs/>
          <w:color w:val="000000"/>
          <w:sz w:val="22"/>
          <w:szCs w:val="22"/>
          <w:lang w:val="en-AU"/>
        </w:rPr>
        <w:t xml:space="preserve">1.1 Risk Management Approach </w:t>
      </w:r>
    </w:p>
    <w:p w:rsid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Squash &amp; Racquetball Victoria (S&amp;RV) recognises that risk management is an integral part of the Associations’ governance framework and decision making process. It assists management to make informed choices, consistent with the Board’s goals and objectives, and commensurate with its appetite for risk.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p>
    <w:p w:rsidR="003410EC" w:rsidRPr="003410EC" w:rsidRDefault="003410EC" w:rsidP="003410EC">
      <w:pPr>
        <w:spacing w:after="200" w:line="276" w:lineRule="auto"/>
        <w:jc w:val="both"/>
        <w:rPr>
          <w:rFonts w:ascii="Calibri" w:eastAsia="Calibri" w:hAnsi="Calibri"/>
          <w:sz w:val="22"/>
          <w:szCs w:val="22"/>
          <w:lang w:val="en-AU"/>
        </w:rPr>
      </w:pPr>
      <w:r w:rsidRPr="003410EC">
        <w:rPr>
          <w:rFonts w:ascii="Calibri" w:eastAsia="Calibri" w:hAnsi="Calibri"/>
          <w:sz w:val="22"/>
          <w:szCs w:val="22"/>
          <w:lang w:val="en-AU"/>
        </w:rPr>
        <w:t>Risk represents both a threat and opportunity. The management of risk therefore increases the likelihood that S&amp;RV will achieve its primary objectives.</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b/>
          <w:bCs/>
          <w:color w:val="000000"/>
          <w:sz w:val="22"/>
          <w:szCs w:val="22"/>
          <w:lang w:val="en-AU"/>
        </w:rPr>
        <w:t xml:space="preserve">1.2 Risk Management Methodology </w:t>
      </w:r>
    </w:p>
    <w:p w:rsid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S&amp;RV’s risk management methodology (illustrated below) provides the key elements to support a rigorous and sustainable risk management process. The methodology is consistent with the International Risk Management Standard (ISO 31000), which represents leading practice.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p>
    <w:p w:rsid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ISO 31000 provides the principles and guidelines for implementing a comprehensive risk management methodology, including the key steps for establishing the context, performing risk assessments and establishing risk treatment plans.</w:t>
      </w:r>
    </w:p>
    <w:p w:rsidR="003410EC" w:rsidRDefault="003410EC" w:rsidP="003410EC">
      <w:pPr>
        <w:autoSpaceDE w:val="0"/>
        <w:autoSpaceDN w:val="0"/>
        <w:adjustRightInd w:val="0"/>
        <w:rPr>
          <w:rFonts w:ascii="Calibri" w:eastAsia="Calibri" w:hAnsi="Calibri" w:cs="Calibri"/>
          <w:color w:val="000000"/>
          <w:sz w:val="22"/>
          <w:szCs w:val="22"/>
          <w:lang w:val="en-AU"/>
        </w:rPr>
      </w:pPr>
    </w:p>
    <w:p w:rsidR="003410EC" w:rsidRDefault="003410EC" w:rsidP="003410EC">
      <w:pPr>
        <w:autoSpaceDE w:val="0"/>
        <w:autoSpaceDN w:val="0"/>
        <w:adjustRightInd w:val="0"/>
        <w:rPr>
          <w:rFonts w:ascii="Calibri" w:eastAsia="Calibri" w:hAnsi="Calibri" w:cs="Calibri"/>
          <w:color w:val="000000"/>
          <w:sz w:val="22"/>
          <w:szCs w:val="22"/>
          <w:lang w:val="en-AU"/>
        </w:rPr>
      </w:pPr>
    </w:p>
    <w:p w:rsidR="003410EC" w:rsidRPr="003410EC" w:rsidRDefault="003410EC" w:rsidP="003410EC">
      <w:pPr>
        <w:autoSpaceDE w:val="0"/>
        <w:autoSpaceDN w:val="0"/>
        <w:adjustRightInd w:val="0"/>
        <w:rPr>
          <w:rFonts w:ascii="Calibri" w:eastAsia="Calibri" w:hAnsi="Calibri" w:cs="Calibri"/>
          <w:color w:val="000000"/>
          <w:sz w:val="22"/>
          <w:szCs w:val="22"/>
          <w:lang w:val="en-AU"/>
        </w:rPr>
      </w:pPr>
    </w:p>
    <w:p w:rsidR="003410EC" w:rsidRDefault="003410EC" w:rsidP="003410EC">
      <w:pPr>
        <w:pStyle w:val="HeadingA"/>
        <w:keepNext w:val="0"/>
        <w:numPr>
          <w:ilvl w:val="0"/>
          <w:numId w:val="0"/>
        </w:numPr>
        <w:jc w:val="both"/>
        <w:outlineLvl w:val="9"/>
        <w:rPr>
          <w:rFonts w:ascii="Calibri" w:eastAsia="Calibri" w:hAnsi="Calibri"/>
          <w:bCs/>
          <w:i/>
          <w:iCs/>
          <w:sz w:val="18"/>
          <w:szCs w:val="18"/>
          <w:u w:val="none"/>
          <w:lang w:eastAsia="en-US"/>
        </w:rPr>
      </w:pPr>
    </w:p>
    <w:p w:rsidR="000F4931" w:rsidRDefault="003410EC" w:rsidP="003410EC">
      <w:pPr>
        <w:pStyle w:val="HeadingA"/>
        <w:keepNext w:val="0"/>
        <w:numPr>
          <w:ilvl w:val="0"/>
          <w:numId w:val="0"/>
        </w:numPr>
        <w:jc w:val="both"/>
        <w:outlineLvl w:val="9"/>
        <w:rPr>
          <w:rFonts w:ascii="Calibri" w:eastAsia="Calibri" w:hAnsi="Calibri"/>
          <w:bCs/>
          <w:i/>
          <w:iCs/>
          <w:sz w:val="18"/>
          <w:szCs w:val="18"/>
          <w:u w:val="none"/>
          <w:lang w:eastAsia="en-US"/>
        </w:rPr>
      </w:pPr>
      <w:r>
        <w:rPr>
          <w:rFonts w:ascii="Calibri" w:eastAsia="Calibri" w:hAnsi="Calibri"/>
          <w:bCs/>
          <w:i/>
          <w:iCs/>
          <w:sz w:val="18"/>
          <w:szCs w:val="18"/>
          <w:u w:val="none"/>
          <w:lang w:eastAsia="en-US"/>
        </w:rPr>
        <w:br w:type="page"/>
      </w:r>
      <w:r w:rsidRPr="003410EC">
        <w:rPr>
          <w:rFonts w:ascii="Calibri" w:eastAsia="Calibri" w:hAnsi="Calibri"/>
          <w:bCs/>
          <w:i/>
          <w:iCs/>
          <w:sz w:val="18"/>
          <w:szCs w:val="18"/>
          <w:u w:val="none"/>
          <w:lang w:eastAsia="en-US"/>
        </w:rPr>
        <w:lastRenderedPageBreak/>
        <w:t>Fig. 2: S&amp;RV’s Risk Management Methodology (based on ISO 31000)</w:t>
      </w:r>
    </w:p>
    <w:p w:rsidR="003410EC" w:rsidRDefault="003410EC" w:rsidP="003410EC">
      <w:pPr>
        <w:pStyle w:val="HeadingA"/>
        <w:keepNext w:val="0"/>
        <w:numPr>
          <w:ilvl w:val="0"/>
          <w:numId w:val="0"/>
        </w:numPr>
        <w:jc w:val="both"/>
        <w:outlineLvl w:val="9"/>
        <w:rPr>
          <w:rFonts w:ascii="Calibri" w:eastAsia="Calibri" w:hAnsi="Calibri"/>
          <w:bCs/>
          <w:i/>
          <w:iCs/>
          <w:sz w:val="18"/>
          <w:szCs w:val="18"/>
          <w:u w:val="none"/>
          <w:lang w:eastAsia="en-US"/>
        </w:rPr>
      </w:pPr>
    </w:p>
    <w:p w:rsidR="003410EC" w:rsidRDefault="00B818DF" w:rsidP="003410EC">
      <w:pPr>
        <w:spacing w:after="200" w:line="276" w:lineRule="auto"/>
        <w:rPr>
          <w:rFonts w:ascii="Calibri" w:eastAsia="Calibri" w:hAnsi="Calibri" w:cs="Calibri"/>
          <w:b/>
          <w:bCs/>
          <w:color w:val="000000"/>
          <w:sz w:val="23"/>
          <w:szCs w:val="23"/>
          <w:lang w:val="en-AU"/>
        </w:rPr>
      </w:pPr>
      <w:r>
        <w:rPr>
          <w:rFonts w:ascii="Calibri" w:eastAsia="Calibri" w:hAnsi="Calibri" w:cs="Calibri"/>
          <w:b/>
          <w:bCs/>
          <w:noProof/>
          <w:color w:val="000000"/>
          <w:sz w:val="23"/>
          <w:szCs w:val="23"/>
          <w:lang w:val="en-AU" w:eastAsia="en-AU"/>
        </w:rPr>
        <w:drawing>
          <wp:inline distT="0" distB="0" distL="0" distR="0" wp14:anchorId="01A9499C">
            <wp:extent cx="5513705" cy="315214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3705" cy="3152140"/>
                    </a:xfrm>
                    <a:prstGeom prst="rect">
                      <a:avLst/>
                    </a:prstGeom>
                    <a:noFill/>
                  </pic:spPr>
                </pic:pic>
              </a:graphicData>
            </a:graphic>
          </wp:inline>
        </w:drawing>
      </w:r>
    </w:p>
    <w:p w:rsidR="003410EC" w:rsidRPr="003410EC" w:rsidRDefault="003410EC" w:rsidP="003410EC">
      <w:pPr>
        <w:spacing w:after="200" w:line="276" w:lineRule="auto"/>
        <w:jc w:val="both"/>
        <w:rPr>
          <w:rFonts w:ascii="Calibri" w:eastAsia="Calibri" w:hAnsi="Calibri"/>
          <w:sz w:val="22"/>
          <w:szCs w:val="22"/>
          <w:lang w:val="en-AU"/>
        </w:rPr>
      </w:pPr>
      <w:r w:rsidRPr="003410EC">
        <w:rPr>
          <w:rFonts w:ascii="Calibri" w:eastAsia="Calibri" w:hAnsi="Calibri" w:cs="Calibri"/>
          <w:b/>
          <w:bCs/>
          <w:color w:val="000000"/>
          <w:sz w:val="22"/>
          <w:szCs w:val="22"/>
          <w:lang w:val="en-AU"/>
        </w:rPr>
        <w:t xml:space="preserve">2.1 Establishing the Context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The following documents should be reviewed to provide the appropriate context for the risk assessment process and to confirm that the risks are aligned to S&amp;RV’s strategy, goals and risk appetite: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S&amp;RV strategic plan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S&amp;RV annual budget</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Latest risk matrix summaries</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b/>
          <w:bCs/>
          <w:color w:val="000000"/>
          <w:sz w:val="22"/>
          <w:szCs w:val="22"/>
          <w:lang w:val="en-AU"/>
        </w:rPr>
        <w:t xml:space="preserve">2.2 Risk Identification, Analysis &amp; Evaluation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‘Risk’ has been defined as “the threat that an action or event will </w:t>
      </w:r>
      <w:r w:rsidRPr="003410EC">
        <w:rPr>
          <w:rFonts w:ascii="Calibri" w:eastAsia="Calibri" w:hAnsi="Calibri" w:cs="Calibri"/>
          <w:b/>
          <w:color w:val="000000"/>
          <w:sz w:val="22"/>
          <w:szCs w:val="22"/>
          <w:lang w:val="en-AU"/>
        </w:rPr>
        <w:t>significantly</w:t>
      </w:r>
      <w:r w:rsidRPr="003410EC">
        <w:rPr>
          <w:rFonts w:ascii="Calibri" w:eastAsia="Calibri" w:hAnsi="Calibri" w:cs="Calibri"/>
          <w:color w:val="000000"/>
          <w:sz w:val="22"/>
          <w:szCs w:val="22"/>
          <w:lang w:val="en-AU"/>
        </w:rPr>
        <w:t xml:space="preserve"> and adversely affect S&amp;RV’s ability to achieve its </w:t>
      </w:r>
      <w:r w:rsidRPr="003410EC">
        <w:rPr>
          <w:rFonts w:ascii="Calibri" w:eastAsia="Calibri" w:hAnsi="Calibri" w:cs="Calibri"/>
          <w:b/>
          <w:color w:val="000000"/>
          <w:sz w:val="22"/>
          <w:szCs w:val="22"/>
          <w:lang w:val="en-AU"/>
        </w:rPr>
        <w:t>key</w:t>
      </w:r>
      <w:r w:rsidRPr="003410EC">
        <w:rPr>
          <w:rFonts w:ascii="Calibri" w:eastAsia="Calibri" w:hAnsi="Calibri" w:cs="Calibri"/>
          <w:color w:val="000000"/>
          <w:sz w:val="22"/>
          <w:szCs w:val="22"/>
          <w:lang w:val="en-AU"/>
        </w:rPr>
        <w:t xml:space="preserve"> objectives”.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The risk identification, analysis and evaluation process includes: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Finance Committee to consider key risk categories and sub categories of the risk matrix (refer to Appendix 1)</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Executive Director and S&amp;RV Management to assess the likelihood, impact, responsibility and mitigation plan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Review and input from the Board</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b/>
          <w:bCs/>
          <w:color w:val="000000"/>
          <w:sz w:val="22"/>
          <w:szCs w:val="22"/>
          <w:lang w:val="en-AU"/>
        </w:rPr>
        <w:t xml:space="preserve">2.3 Monitoring and Review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The Risk management policy and the risk matrix will be reviewed on an annual basis. This annual review will be conducted by the Executive Director with oversight by the Finance Committee. Any proposed amendments to the risk management policy and process and updated risk matrix resulting from the annual review will be presented to the Finance Committee for consideration and adoption.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The annual review is required to confirm: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The risks identified remain valid and/or the risk matrix has been updated with any significant changes or new and emerging risks.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The controls established to mitigate the key risks are operating effectively. </w:t>
      </w:r>
    </w:p>
    <w:p w:rsidR="003410EC" w:rsidRPr="003410EC" w:rsidRDefault="003410EC" w:rsidP="003410EC">
      <w:pPr>
        <w:numPr>
          <w:ilvl w:val="0"/>
          <w:numId w:val="22"/>
        </w:numPr>
        <w:autoSpaceDE w:val="0"/>
        <w:autoSpaceDN w:val="0"/>
        <w:adjustRightInd w:val="0"/>
        <w:spacing w:after="200" w:line="276" w:lineRule="auto"/>
        <w:contextualSpacing/>
        <w:jc w:val="both"/>
        <w:rPr>
          <w:rFonts w:ascii="Calibri" w:eastAsia="Calibri" w:hAnsi="Calibri" w:cs="Calibri"/>
          <w:color w:val="000000"/>
          <w:sz w:val="22"/>
          <w:szCs w:val="22"/>
          <w:lang w:val="en-AU"/>
        </w:rPr>
      </w:pPr>
      <w:r w:rsidRPr="003410EC">
        <w:rPr>
          <w:rFonts w:ascii="Calibri" w:eastAsia="Calibri" w:hAnsi="Calibri" w:cs="Calibri"/>
          <w:color w:val="000000"/>
          <w:sz w:val="22"/>
          <w:szCs w:val="22"/>
          <w:lang w:val="en-AU"/>
        </w:rPr>
        <w:t xml:space="preserve">Mitigations plans are being implemented in accordance with agreed timeframes. </w:t>
      </w: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p>
    <w:p w:rsidR="003410EC" w:rsidRPr="003410EC" w:rsidRDefault="003410EC" w:rsidP="003410EC">
      <w:pPr>
        <w:autoSpaceDE w:val="0"/>
        <w:autoSpaceDN w:val="0"/>
        <w:adjustRightInd w:val="0"/>
        <w:jc w:val="both"/>
        <w:rPr>
          <w:rFonts w:ascii="Calibri" w:eastAsia="Calibri" w:hAnsi="Calibri" w:cs="Calibri"/>
          <w:color w:val="000000"/>
          <w:sz w:val="22"/>
          <w:szCs w:val="22"/>
          <w:lang w:val="en-AU"/>
        </w:rPr>
      </w:pPr>
      <w:r w:rsidRPr="003410EC">
        <w:rPr>
          <w:rFonts w:ascii="Calibri" w:eastAsia="Calibri" w:hAnsi="Calibri" w:cs="Calibri"/>
          <w:b/>
          <w:bCs/>
          <w:color w:val="000000"/>
          <w:sz w:val="22"/>
          <w:szCs w:val="22"/>
          <w:lang w:val="en-AU"/>
        </w:rPr>
        <w:t xml:space="preserve">2.4 Communicate and Consult </w:t>
      </w:r>
    </w:p>
    <w:p w:rsidR="003410EC" w:rsidRDefault="003410EC" w:rsidP="003410EC">
      <w:pPr>
        <w:pStyle w:val="HeadingA"/>
        <w:keepNext w:val="0"/>
        <w:numPr>
          <w:ilvl w:val="0"/>
          <w:numId w:val="0"/>
        </w:numPr>
        <w:jc w:val="both"/>
        <w:outlineLvl w:val="9"/>
        <w:rPr>
          <w:rFonts w:ascii="Calibri" w:eastAsia="Calibri" w:hAnsi="Calibri" w:cs="Calibri"/>
          <w:b w:val="0"/>
          <w:color w:val="000000"/>
          <w:szCs w:val="22"/>
          <w:u w:val="none"/>
          <w:lang w:eastAsia="en-US"/>
        </w:rPr>
      </w:pPr>
      <w:r w:rsidRPr="003410EC">
        <w:rPr>
          <w:rFonts w:ascii="Calibri" w:eastAsia="Calibri" w:hAnsi="Calibri" w:cs="Calibri"/>
          <w:b w:val="0"/>
          <w:color w:val="000000"/>
          <w:szCs w:val="22"/>
          <w:u w:val="none"/>
          <w:lang w:eastAsia="en-US"/>
        </w:rPr>
        <w:t>The risk policy and matrix will be communicated to all staff. The topic of risk is also to be included in the Board meeting agendas on a quarterly basis or more regularly if the need arise</w:t>
      </w:r>
      <w:r>
        <w:rPr>
          <w:rFonts w:ascii="Calibri" w:eastAsia="Calibri" w:hAnsi="Calibri" w:cs="Calibri"/>
          <w:b w:val="0"/>
          <w:color w:val="000000"/>
          <w:szCs w:val="22"/>
          <w:u w:val="none"/>
          <w:lang w:eastAsia="en-US"/>
        </w:rPr>
        <w:t>s.</w:t>
      </w:r>
    </w:p>
    <w:p w:rsidR="00CC6461" w:rsidRDefault="00CC6461" w:rsidP="003410EC">
      <w:pPr>
        <w:pStyle w:val="HeadingA"/>
        <w:keepNext w:val="0"/>
        <w:numPr>
          <w:ilvl w:val="0"/>
          <w:numId w:val="0"/>
        </w:numPr>
        <w:jc w:val="both"/>
        <w:outlineLvl w:val="9"/>
        <w:rPr>
          <w:rFonts w:ascii="Calibri" w:eastAsia="Calibri" w:hAnsi="Calibri" w:cs="Calibri"/>
          <w:b w:val="0"/>
          <w:color w:val="000000"/>
          <w:szCs w:val="22"/>
          <w:u w:val="none"/>
          <w:lang w:eastAsia="en-US"/>
        </w:rPr>
      </w:pPr>
      <w:r w:rsidRPr="00CC6461">
        <w:rPr>
          <w:rFonts w:ascii="Calibri" w:eastAsia="Calibri" w:hAnsi="Calibri" w:cs="Calibri"/>
          <w:color w:val="000000"/>
          <w:szCs w:val="22"/>
          <w:u w:val="none"/>
          <w:lang w:eastAsia="en-US"/>
        </w:rPr>
        <w:t>Appendix 1:</w:t>
      </w:r>
      <w:r>
        <w:rPr>
          <w:rFonts w:ascii="Calibri" w:eastAsia="Calibri" w:hAnsi="Calibri" w:cs="Calibri"/>
          <w:color w:val="000000"/>
          <w:szCs w:val="22"/>
          <w:u w:val="none"/>
          <w:lang w:eastAsia="en-US"/>
        </w:rPr>
        <w:t xml:space="preserve"> Risk Matrix</w:t>
      </w:r>
      <w:bookmarkStart w:id="0" w:name="_GoBack"/>
      <w:bookmarkEnd w:id="0"/>
    </w:p>
    <w:p w:rsidR="00CC6461" w:rsidRDefault="00CC6461" w:rsidP="003410EC">
      <w:pPr>
        <w:pStyle w:val="HeadingA"/>
        <w:keepNext w:val="0"/>
        <w:numPr>
          <w:ilvl w:val="0"/>
          <w:numId w:val="0"/>
        </w:numPr>
        <w:jc w:val="both"/>
        <w:outlineLvl w:val="9"/>
        <w:rPr>
          <w:rFonts w:ascii="Calibri" w:eastAsia="Calibri" w:hAnsi="Calibri" w:cs="Calibri"/>
          <w:b w:val="0"/>
          <w:color w:val="000000"/>
          <w:szCs w:val="22"/>
          <w:u w:val="none"/>
          <w:lang w:eastAsia="en-US"/>
        </w:rPr>
      </w:pPr>
    </w:p>
    <w:tbl>
      <w:tblPr>
        <w:tblpPr w:leftFromText="180" w:rightFromText="180" w:vertAnchor="text" w:horzAnchor="margin" w:tblpX="-328" w:tblpY="265"/>
        <w:tblW w:w="10206" w:type="dxa"/>
        <w:tblCellMar>
          <w:left w:w="0" w:type="dxa"/>
          <w:right w:w="0" w:type="dxa"/>
        </w:tblCellMar>
        <w:tblLook w:val="04A0" w:firstRow="1" w:lastRow="0" w:firstColumn="1" w:lastColumn="0" w:noHBand="0" w:noVBand="1"/>
      </w:tblPr>
      <w:tblGrid>
        <w:gridCol w:w="2144"/>
        <w:gridCol w:w="1703"/>
        <w:gridCol w:w="6359"/>
      </w:tblGrid>
      <w:tr w:rsidR="00CC6461" w:rsidRPr="00CC6461" w:rsidTr="00CC6461">
        <w:tc>
          <w:tcPr>
            <w:tcW w:w="2144" w:type="dxa"/>
            <w:tcBorders>
              <w:top w:val="single" w:sz="8" w:space="0" w:color="FFFFFF"/>
              <w:left w:val="single" w:sz="8" w:space="0" w:color="FFFFFF"/>
              <w:bottom w:val="single" w:sz="24" w:space="0" w:color="FFFFFF"/>
              <w:right w:val="single" w:sz="8"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Category</w:t>
            </w:r>
          </w:p>
        </w:tc>
        <w:tc>
          <w:tcPr>
            <w:tcW w:w="0" w:type="auto"/>
            <w:tcBorders>
              <w:top w:val="single" w:sz="8" w:space="0" w:color="FFFFFF"/>
              <w:left w:val="nil"/>
              <w:bottom w:val="single" w:sz="24" w:space="0" w:color="FFFFFF"/>
              <w:right w:val="single" w:sz="8"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Sub- category</w:t>
            </w:r>
          </w:p>
        </w:tc>
        <w:tc>
          <w:tcPr>
            <w:tcW w:w="6359" w:type="dxa"/>
            <w:tcBorders>
              <w:top w:val="single" w:sz="8" w:space="0" w:color="FFFFFF"/>
              <w:left w:val="nil"/>
              <w:bottom w:val="single" w:sz="24" w:space="0" w:color="FFFFFF"/>
              <w:right w:val="single" w:sz="8"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Description</w:t>
            </w:r>
          </w:p>
        </w:tc>
      </w:tr>
      <w:tr w:rsidR="00CC6461" w:rsidRPr="00CC6461" w:rsidTr="00CC6461">
        <w:trPr>
          <w:trHeight w:val="557"/>
        </w:trPr>
        <w:tc>
          <w:tcPr>
            <w:tcW w:w="2144" w:type="dxa"/>
            <w:tcBorders>
              <w:top w:val="nil"/>
              <w:left w:val="single" w:sz="8" w:space="0" w:color="FFFFFF"/>
              <w:bottom w:val="nil"/>
              <w:right w:val="single" w:sz="24"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Event (non S&amp;RV event)</w:t>
            </w: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 xml:space="preserve">Safety </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 xml:space="preserve">Venue is an unsafe environment </w:t>
            </w:r>
          </w:p>
        </w:tc>
      </w:tr>
      <w:tr w:rsidR="00CC6461" w:rsidRPr="00CC6461" w:rsidTr="00CC6461">
        <w:tc>
          <w:tcPr>
            <w:tcW w:w="2144" w:type="dxa"/>
            <w:vMerge w:val="restart"/>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Event</w:t>
            </w:r>
            <w:r w:rsidRPr="00CC6461">
              <w:rPr>
                <w:rFonts w:ascii="Calibri" w:eastAsia="Calibri" w:hAnsi="Calibri" w:cs="Calibri"/>
                <w:b/>
                <w:bCs/>
                <w:color w:val="FFFFFF"/>
                <w:sz w:val="22"/>
                <w:szCs w:val="22"/>
                <w:lang w:val="en-AU"/>
              </w:rPr>
              <w:br/>
              <w:t>(S&amp;RV event)</w:t>
            </w: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 xml:space="preserve">Safety </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Venue is an unsafe environment</w:t>
            </w:r>
          </w:p>
        </w:tc>
      </w:tr>
      <w:tr w:rsidR="00CC6461" w:rsidRPr="00CC6461" w:rsidTr="00CC6461">
        <w:tc>
          <w:tcPr>
            <w:tcW w:w="2144" w:type="dxa"/>
            <w:vMerge/>
            <w:tcBorders>
              <w:top w:val="single" w:sz="8" w:space="0" w:color="FFFFFF"/>
              <w:left w:val="single" w:sz="8" w:space="0" w:color="FFFFFF"/>
              <w:bottom w:val="nil"/>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Activity</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The event is poorly managed and implemented</w:t>
            </w:r>
          </w:p>
        </w:tc>
      </w:tr>
      <w:tr w:rsidR="00CC6461" w:rsidRPr="00CC6461" w:rsidTr="00CC6461">
        <w:trPr>
          <w:trHeight w:val="521"/>
        </w:trPr>
        <w:tc>
          <w:tcPr>
            <w:tcW w:w="2144" w:type="dxa"/>
            <w:vMerge/>
            <w:tcBorders>
              <w:top w:val="single" w:sz="8" w:space="0" w:color="FFFFFF"/>
              <w:left w:val="single" w:sz="8" w:space="0" w:color="FFFFFF"/>
              <w:bottom w:val="nil"/>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Financial Management</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The event operates at a loss putting financial stress on the organisation</w:t>
            </w:r>
          </w:p>
        </w:tc>
      </w:tr>
      <w:tr w:rsidR="00CC6461" w:rsidRPr="00CC6461" w:rsidTr="00CC6461">
        <w:tc>
          <w:tcPr>
            <w:tcW w:w="2144" w:type="dxa"/>
            <w:vMerge w:val="restart"/>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Financial</w:t>
            </w: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Viability</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Poor financial management leads to the failure of Squash &amp; Racquetball Victoria</w:t>
            </w:r>
          </w:p>
        </w:tc>
      </w:tr>
      <w:tr w:rsidR="00CC6461" w:rsidRPr="00CC6461" w:rsidTr="00CC6461">
        <w:tc>
          <w:tcPr>
            <w:tcW w:w="2144" w:type="dxa"/>
            <w:vMerge/>
            <w:tcBorders>
              <w:top w:val="single" w:sz="8" w:space="0" w:color="FFFFFF"/>
              <w:left w:val="single" w:sz="8" w:space="0" w:color="FFFFFF"/>
              <w:bottom w:val="nil"/>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Viability</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Government funding reduced</w:t>
            </w:r>
          </w:p>
        </w:tc>
      </w:tr>
      <w:tr w:rsidR="00CC6461" w:rsidRPr="00CC6461" w:rsidTr="00CC6461">
        <w:tc>
          <w:tcPr>
            <w:tcW w:w="2144" w:type="dxa"/>
            <w:vMerge w:val="restart"/>
            <w:tcBorders>
              <w:top w:val="single" w:sz="8" w:space="0" w:color="FFFFFF"/>
              <w:left w:val="single" w:sz="8" w:space="0" w:color="FFFFFF"/>
              <w:bottom w:val="single" w:sz="8" w:space="0" w:color="FFFFFF"/>
              <w:right w:val="single" w:sz="24" w:space="0" w:color="FFFFFF"/>
            </w:tcBorders>
            <w:shd w:val="clear" w:color="auto" w:fill="4F81BD"/>
            <w:tcMar>
              <w:top w:w="0" w:type="dxa"/>
              <w:left w:w="108" w:type="dxa"/>
              <w:bottom w:w="0" w:type="dxa"/>
              <w:right w:w="108" w:type="dxa"/>
            </w:tcMar>
            <w:hideMark/>
          </w:tcPr>
          <w:p w:rsidR="00CC6461" w:rsidRPr="00CC6461" w:rsidRDefault="00CC6461" w:rsidP="00CC6461">
            <w:pPr>
              <w:rPr>
                <w:rFonts w:ascii="Calibri" w:eastAsia="Calibri" w:hAnsi="Calibri" w:cs="Calibri"/>
                <w:b/>
                <w:bCs/>
                <w:color w:val="FFFFFF"/>
                <w:sz w:val="22"/>
                <w:szCs w:val="22"/>
                <w:lang w:val="en-AU"/>
              </w:rPr>
            </w:pPr>
            <w:r w:rsidRPr="00CC6461">
              <w:rPr>
                <w:rFonts w:ascii="Calibri" w:eastAsia="Calibri" w:hAnsi="Calibri" w:cs="Calibri"/>
                <w:b/>
                <w:bCs/>
                <w:color w:val="FFFFFF"/>
                <w:sz w:val="22"/>
                <w:szCs w:val="22"/>
                <w:lang w:val="en-AU"/>
              </w:rPr>
              <w:t>Organisational</w:t>
            </w: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OH&amp;S</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The office is not a physically safe workplace for staff and visitors</w:t>
            </w:r>
          </w:p>
        </w:tc>
      </w:tr>
      <w:tr w:rsidR="00CC6461" w:rsidRPr="00CC6461" w:rsidTr="00CC6461">
        <w:tc>
          <w:tcPr>
            <w:tcW w:w="2144" w:type="dxa"/>
            <w:vMerge/>
            <w:tcBorders>
              <w:top w:val="single" w:sz="8" w:space="0" w:color="FFFFFF"/>
              <w:left w:val="single" w:sz="8" w:space="0" w:color="FFFFFF"/>
              <w:bottom w:val="single" w:sz="8" w:space="0" w:color="FFFFFF"/>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Inclusion</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S&amp;RV does not provide an environment for staff, and volunteers that ensures they feel included, welcomed and valued</w:t>
            </w:r>
          </w:p>
        </w:tc>
      </w:tr>
      <w:tr w:rsidR="00CC6461" w:rsidRPr="00CC6461" w:rsidTr="00CC6461">
        <w:tc>
          <w:tcPr>
            <w:tcW w:w="2144" w:type="dxa"/>
            <w:vMerge/>
            <w:tcBorders>
              <w:top w:val="single" w:sz="8" w:space="0" w:color="FFFFFF"/>
              <w:left w:val="single" w:sz="8" w:space="0" w:color="FFFFFF"/>
              <w:bottom w:val="single" w:sz="8" w:space="0" w:color="FFFFFF"/>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Privacy</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The private information related to players, employees &amp; members is not safely protected</w:t>
            </w:r>
          </w:p>
        </w:tc>
      </w:tr>
      <w:tr w:rsidR="00CC6461" w:rsidRPr="00CC6461" w:rsidTr="00CC6461">
        <w:tc>
          <w:tcPr>
            <w:tcW w:w="2144" w:type="dxa"/>
            <w:vMerge/>
            <w:tcBorders>
              <w:top w:val="single" w:sz="8" w:space="0" w:color="FFFFFF"/>
              <w:left w:val="single" w:sz="8" w:space="0" w:color="FFFFFF"/>
              <w:bottom w:val="single" w:sz="8" w:space="0" w:color="FFFFFF"/>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Compliance</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S&amp;RV fails to comply with Victorian regulations governing not-for-profit organisations</w:t>
            </w:r>
          </w:p>
        </w:tc>
      </w:tr>
      <w:tr w:rsidR="00CC6461" w:rsidRPr="00CC6461" w:rsidTr="00CC6461">
        <w:tc>
          <w:tcPr>
            <w:tcW w:w="2144" w:type="dxa"/>
            <w:vMerge/>
            <w:tcBorders>
              <w:top w:val="single" w:sz="8" w:space="0" w:color="FFFFFF"/>
              <w:left w:val="single" w:sz="8" w:space="0" w:color="FFFFFF"/>
              <w:bottom w:val="single" w:sz="8" w:space="0" w:color="FFFFFF"/>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Corporate</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Squash &amp; Racquetball Victoria’s strategic, financial and employee related information is not safely protected</w:t>
            </w:r>
          </w:p>
        </w:tc>
      </w:tr>
      <w:tr w:rsidR="00CC6461" w:rsidRPr="00CC6461" w:rsidTr="00CC6461">
        <w:tc>
          <w:tcPr>
            <w:tcW w:w="2144" w:type="dxa"/>
            <w:vMerge/>
            <w:tcBorders>
              <w:top w:val="single" w:sz="8" w:space="0" w:color="FFFFFF"/>
              <w:left w:val="single" w:sz="8" w:space="0" w:color="FFFFFF"/>
              <w:bottom w:val="single" w:sz="8" w:space="0" w:color="FFFFFF"/>
              <w:right w:val="single" w:sz="24" w:space="0" w:color="FFFFFF"/>
            </w:tcBorders>
            <w:vAlign w:val="center"/>
            <w:hideMark/>
          </w:tcPr>
          <w:p w:rsidR="00CC6461" w:rsidRPr="00CC6461" w:rsidRDefault="00CC6461" w:rsidP="00CC6461">
            <w:pPr>
              <w:rPr>
                <w:rFonts w:ascii="Calibri" w:eastAsia="Calibri" w:hAnsi="Calibri" w:cs="Calibri"/>
                <w:b/>
                <w:bCs/>
                <w:color w:val="FFFFFF"/>
                <w:sz w:val="22"/>
                <w:szCs w:val="22"/>
                <w:lang w:val="en-AU"/>
              </w:rPr>
            </w:pPr>
          </w:p>
        </w:tc>
        <w:tc>
          <w:tcPr>
            <w:tcW w:w="0" w:type="auto"/>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Key personnel</w:t>
            </w:r>
          </w:p>
        </w:tc>
        <w:tc>
          <w:tcPr>
            <w:tcW w:w="6359" w:type="dxa"/>
            <w:tcBorders>
              <w:top w:val="nil"/>
              <w:left w:val="nil"/>
              <w:bottom w:val="single" w:sz="8" w:space="0" w:color="FFFFFF"/>
              <w:right w:val="single" w:sz="8" w:space="0" w:color="FFFFFF"/>
            </w:tcBorders>
            <w:shd w:val="clear" w:color="auto" w:fill="D9D9D9"/>
            <w:tcMar>
              <w:top w:w="0" w:type="dxa"/>
              <w:left w:w="108" w:type="dxa"/>
              <w:bottom w:w="0" w:type="dxa"/>
              <w:right w:w="108" w:type="dxa"/>
            </w:tcMar>
            <w:hideMark/>
          </w:tcPr>
          <w:p w:rsidR="00CC6461" w:rsidRPr="00CC6461" w:rsidRDefault="00CC6461" w:rsidP="00CC6461">
            <w:pPr>
              <w:rPr>
                <w:rFonts w:ascii="Calibri" w:eastAsia="Calibri" w:hAnsi="Calibri" w:cs="Calibri"/>
                <w:sz w:val="22"/>
                <w:szCs w:val="22"/>
                <w:lang w:val="en-AU"/>
              </w:rPr>
            </w:pPr>
            <w:r w:rsidRPr="00CC6461">
              <w:rPr>
                <w:rFonts w:ascii="Calibri" w:eastAsia="Calibri" w:hAnsi="Calibri" w:cs="Calibri"/>
                <w:sz w:val="22"/>
                <w:szCs w:val="22"/>
                <w:lang w:val="en-AU"/>
              </w:rPr>
              <w:t>Processes and systems are not adequately in place in the event that the Executive Director leaves the organisation.</w:t>
            </w:r>
          </w:p>
        </w:tc>
      </w:tr>
    </w:tbl>
    <w:p w:rsidR="00CC6461" w:rsidRPr="00CC6461" w:rsidRDefault="00CC6461" w:rsidP="003410EC">
      <w:pPr>
        <w:pStyle w:val="HeadingA"/>
        <w:keepNext w:val="0"/>
        <w:numPr>
          <w:ilvl w:val="0"/>
          <w:numId w:val="0"/>
        </w:numPr>
        <w:jc w:val="both"/>
        <w:outlineLvl w:val="9"/>
        <w:rPr>
          <w:b w:val="0"/>
          <w:szCs w:val="22"/>
        </w:rPr>
      </w:pPr>
    </w:p>
    <w:sectPr w:rsidR="00CC6461" w:rsidRPr="00CC6461" w:rsidSect="001D0CAE">
      <w:headerReference w:type="default" r:id="rId10"/>
      <w:pgSz w:w="11907" w:h="16840" w:code="9"/>
      <w:pgMar w:top="993" w:right="850" w:bottom="709"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9A3" w:rsidRDefault="00B829A3">
      <w:r>
        <w:separator/>
      </w:r>
    </w:p>
  </w:endnote>
  <w:endnote w:type="continuationSeparator" w:id="0">
    <w:p w:rsidR="00B829A3" w:rsidRDefault="00B8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9A3" w:rsidRDefault="00B829A3">
      <w:r>
        <w:separator/>
      </w:r>
    </w:p>
  </w:footnote>
  <w:footnote w:type="continuationSeparator" w:id="0">
    <w:p w:rsidR="00B829A3" w:rsidRDefault="00B82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AA7" w:rsidRDefault="001D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7C0"/>
    <w:multiLevelType w:val="hybridMultilevel"/>
    <w:tmpl w:val="8A2AD5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73881"/>
    <w:multiLevelType w:val="hybridMultilevel"/>
    <w:tmpl w:val="DFD8E2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1F1279"/>
    <w:multiLevelType w:val="hybridMultilevel"/>
    <w:tmpl w:val="A8DA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62F4"/>
    <w:multiLevelType w:val="hybridMultilevel"/>
    <w:tmpl w:val="D244F32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3863B1"/>
    <w:multiLevelType w:val="hybridMultilevel"/>
    <w:tmpl w:val="ACE2CBBE"/>
    <w:lvl w:ilvl="0" w:tplc="EEEA3430">
      <w:start w:val="1"/>
      <w:numFmt w:val="bullet"/>
      <w:lvlText w:val=""/>
      <w:lvlJc w:val="left"/>
      <w:pPr>
        <w:tabs>
          <w:tab w:val="num" w:pos="1170"/>
        </w:tabs>
        <w:ind w:left="117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E454A1"/>
    <w:multiLevelType w:val="hybridMultilevel"/>
    <w:tmpl w:val="EABE126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B968A2"/>
    <w:multiLevelType w:val="multilevel"/>
    <w:tmpl w:val="4008C07C"/>
    <w:lvl w:ilvl="0">
      <w:start w:val="4"/>
      <w:numFmt w:val="decimal"/>
      <w:lvlText w:val="%1."/>
      <w:lvlJc w:val="left"/>
      <w:pPr>
        <w:tabs>
          <w:tab w:val="num" w:pos="360"/>
        </w:tabs>
        <w:ind w:left="360" w:hanging="360"/>
      </w:pPr>
      <w:rPr>
        <w:rFonts w:ascii="Arial" w:hAnsi="Arial" w:hint="default"/>
        <w:b/>
        <w:i w:val="0"/>
        <w:sz w:val="22"/>
        <w:u w:val="none"/>
      </w:rPr>
    </w:lvl>
    <w:lvl w:ilvl="1">
      <w:start w:val="2"/>
      <w:numFmt w:val="decimal"/>
      <w:pStyle w:val="HeadingB"/>
      <w:lvlText w:val="%1.%2"/>
      <w:lvlJc w:val="left"/>
      <w:pPr>
        <w:tabs>
          <w:tab w:val="num" w:pos="792"/>
        </w:tabs>
        <w:ind w:left="792" w:hanging="432"/>
      </w:pPr>
      <w:rPr>
        <w:rFonts w:ascii="Arial" w:hAnsi="Arial" w:hint="default"/>
        <w:b/>
        <w:i w:val="0"/>
        <w:sz w:val="22"/>
        <w:u w:val="none"/>
      </w:rPr>
    </w:lvl>
    <w:lvl w:ilvl="2">
      <w:start w:val="1"/>
      <w:numFmt w:val="lowerLetter"/>
      <w:lvlText w:val="%3)"/>
      <w:lvlJc w:val="left"/>
      <w:pPr>
        <w:tabs>
          <w:tab w:val="num" w:pos="1224"/>
        </w:tabs>
        <w:ind w:left="1224" w:hanging="504"/>
      </w:pPr>
      <w:rPr>
        <w:rFonts w:ascii="Arial" w:hAnsi="Arial" w:hint="default"/>
        <w:b/>
        <w:i w:val="0"/>
        <w:sz w:val="22"/>
        <w:u w:val="none"/>
      </w:rPr>
    </w:lvl>
    <w:lvl w:ilvl="3">
      <w:start w:val="1"/>
      <w:numFmt w:val="lowerRoman"/>
      <w:lvlText w:val="%4)"/>
      <w:lvlJc w:val="left"/>
      <w:pPr>
        <w:tabs>
          <w:tab w:val="num" w:pos="1728"/>
        </w:tabs>
        <w:ind w:left="1728" w:hanging="648"/>
      </w:pPr>
      <w:rPr>
        <w:rFonts w:ascii="Arial" w:hAnsi="Arial" w:hint="default"/>
        <w:b/>
        <w:i w:val="0"/>
        <w:sz w:val="22"/>
      </w:rPr>
    </w:lvl>
    <w:lvl w:ilvl="4">
      <w:start w:val="1"/>
      <w:numFmt w:val="decimal"/>
      <w:lvlText w:val="%1.%2.%3.%4.%5."/>
      <w:lvlJc w:val="left"/>
      <w:pPr>
        <w:tabs>
          <w:tab w:val="num" w:pos="2520"/>
        </w:tabs>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D080B4D"/>
    <w:multiLevelType w:val="hybridMultilevel"/>
    <w:tmpl w:val="54FCD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754C56"/>
    <w:multiLevelType w:val="hybridMultilevel"/>
    <w:tmpl w:val="646C097A"/>
    <w:lvl w:ilvl="0" w:tplc="EEEA3430">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774FF"/>
    <w:multiLevelType w:val="hybridMultilevel"/>
    <w:tmpl w:val="4FF6F6A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767F21"/>
    <w:multiLevelType w:val="hybridMultilevel"/>
    <w:tmpl w:val="F6469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CA212F"/>
    <w:multiLevelType w:val="hybridMultilevel"/>
    <w:tmpl w:val="5B5C5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D85524"/>
    <w:multiLevelType w:val="hybridMultilevel"/>
    <w:tmpl w:val="0178B192"/>
    <w:lvl w:ilvl="0" w:tplc="EEEA3430">
      <w:start w:val="1"/>
      <w:numFmt w:val="bullet"/>
      <w:lvlText w:val=""/>
      <w:lvlJc w:val="left"/>
      <w:pPr>
        <w:tabs>
          <w:tab w:val="num" w:pos="1260"/>
        </w:tabs>
        <w:ind w:left="1260" w:hanging="360"/>
      </w:pPr>
      <w:rPr>
        <w:rFonts w:ascii="Symbol" w:hAnsi="Symbol" w:hint="default"/>
        <w:color w:val="auto"/>
      </w:rPr>
    </w:lvl>
    <w:lvl w:ilvl="1" w:tplc="0409000F">
      <w:start w:val="1"/>
      <w:numFmt w:val="decimal"/>
      <w:lvlText w:val="%2."/>
      <w:lvlJc w:val="left"/>
      <w:pPr>
        <w:tabs>
          <w:tab w:val="num" w:pos="2250"/>
        </w:tabs>
        <w:ind w:left="2250" w:hanging="360"/>
      </w:pPr>
      <w:rPr>
        <w:rFonts w:hint="default"/>
        <w:color w:val="auto"/>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3" w15:restartNumberingAfterBreak="0">
    <w:nsid w:val="57F50E07"/>
    <w:multiLevelType w:val="multilevel"/>
    <w:tmpl w:val="95068F8E"/>
    <w:lvl w:ilvl="0">
      <w:start w:val="1"/>
      <w:numFmt w:val="decimal"/>
      <w:pStyle w:val="HeadingA"/>
      <w:lvlText w:val="%1."/>
      <w:lvlJc w:val="left"/>
      <w:pPr>
        <w:tabs>
          <w:tab w:val="num" w:pos="360"/>
        </w:tabs>
        <w:ind w:left="360" w:hanging="360"/>
      </w:pPr>
      <w:rPr>
        <w:rFonts w:ascii="Arial" w:hAnsi="Arial" w:hint="default"/>
        <w:b/>
        <w:i w:val="0"/>
        <w:sz w:val="22"/>
        <w:u w:val="none"/>
      </w:rPr>
    </w:lvl>
    <w:lvl w:ilvl="1">
      <w:start w:val="1"/>
      <w:numFmt w:val="decimal"/>
      <w:lvlText w:val="%1.%2"/>
      <w:lvlJc w:val="left"/>
      <w:pPr>
        <w:tabs>
          <w:tab w:val="num" w:pos="792"/>
        </w:tabs>
        <w:ind w:left="792" w:hanging="432"/>
      </w:pPr>
      <w:rPr>
        <w:rFonts w:ascii="Arial" w:hAnsi="Arial" w:hint="default"/>
        <w:b/>
        <w:i w:val="0"/>
        <w:sz w:val="22"/>
        <w:u w:val="none"/>
      </w:rPr>
    </w:lvl>
    <w:lvl w:ilvl="2">
      <w:start w:val="1"/>
      <w:numFmt w:val="lowerLetter"/>
      <w:lvlText w:val="%3)"/>
      <w:lvlJc w:val="left"/>
      <w:pPr>
        <w:tabs>
          <w:tab w:val="num" w:pos="1224"/>
        </w:tabs>
        <w:ind w:left="1224" w:hanging="504"/>
      </w:pPr>
      <w:rPr>
        <w:rFonts w:ascii="Arial" w:hAnsi="Arial" w:hint="default"/>
        <w:b/>
        <w:i w:val="0"/>
        <w:sz w:val="22"/>
        <w:u w:val="none"/>
      </w:rPr>
    </w:lvl>
    <w:lvl w:ilvl="3">
      <w:start w:val="1"/>
      <w:numFmt w:val="lowerRoman"/>
      <w:lvlText w:val="%4)"/>
      <w:lvlJc w:val="left"/>
      <w:pPr>
        <w:tabs>
          <w:tab w:val="num" w:pos="1728"/>
        </w:tabs>
        <w:ind w:left="1728" w:hanging="648"/>
      </w:pPr>
      <w:rPr>
        <w:rFonts w:ascii="Arial" w:hAnsi="Arial" w:hint="default"/>
        <w:b/>
        <w:i w:val="0"/>
        <w:sz w:val="22"/>
      </w:rPr>
    </w:lvl>
    <w:lvl w:ilvl="4">
      <w:start w:val="1"/>
      <w:numFmt w:val="decimal"/>
      <w:lvlText w:val="%1.%2.%3.%4.%5."/>
      <w:lvlJc w:val="left"/>
      <w:pPr>
        <w:tabs>
          <w:tab w:val="num" w:pos="2520"/>
        </w:tabs>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302FF2"/>
    <w:multiLevelType w:val="hybridMultilevel"/>
    <w:tmpl w:val="139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B5C32"/>
    <w:multiLevelType w:val="hybridMultilevel"/>
    <w:tmpl w:val="6C6A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1754C"/>
    <w:multiLevelType w:val="hybridMultilevel"/>
    <w:tmpl w:val="544A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00F29"/>
    <w:multiLevelType w:val="hybridMultilevel"/>
    <w:tmpl w:val="B4222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1714F2"/>
    <w:multiLevelType w:val="hybridMultilevel"/>
    <w:tmpl w:val="5C7A2228"/>
    <w:lvl w:ilvl="0" w:tplc="EEEA3430">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840CE2"/>
    <w:multiLevelType w:val="hybridMultilevel"/>
    <w:tmpl w:val="0F52F7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91E69"/>
    <w:multiLevelType w:val="multilevel"/>
    <w:tmpl w:val="9D94D8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17A27"/>
    <w:multiLevelType w:val="hybridMultilevel"/>
    <w:tmpl w:val="8218468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3"/>
  </w:num>
  <w:num w:numId="3">
    <w:abstractNumId w:val="9"/>
  </w:num>
  <w:num w:numId="4">
    <w:abstractNumId w:val="3"/>
  </w:num>
  <w:num w:numId="5">
    <w:abstractNumId w:val="5"/>
  </w:num>
  <w:num w:numId="6">
    <w:abstractNumId w:val="8"/>
  </w:num>
  <w:num w:numId="7">
    <w:abstractNumId w:val="18"/>
  </w:num>
  <w:num w:numId="8">
    <w:abstractNumId w:val="12"/>
  </w:num>
  <w:num w:numId="9">
    <w:abstractNumId w:val="4"/>
  </w:num>
  <w:num w:numId="10">
    <w:abstractNumId w:val="21"/>
  </w:num>
  <w:num w:numId="11">
    <w:abstractNumId w:val="11"/>
  </w:num>
  <w:num w:numId="12">
    <w:abstractNumId w:val="15"/>
  </w:num>
  <w:num w:numId="13">
    <w:abstractNumId w:val="2"/>
  </w:num>
  <w:num w:numId="14">
    <w:abstractNumId w:val="16"/>
  </w:num>
  <w:num w:numId="15">
    <w:abstractNumId w:val="14"/>
  </w:num>
  <w:num w:numId="16">
    <w:abstractNumId w:val="17"/>
  </w:num>
  <w:num w:numId="17">
    <w:abstractNumId w:val="20"/>
  </w:num>
  <w:num w:numId="18">
    <w:abstractNumId w:val="19"/>
  </w:num>
  <w:num w:numId="19">
    <w:abstractNumId w:val="1"/>
  </w:num>
  <w:num w:numId="20">
    <w:abstractNumId w:val="7"/>
  </w:num>
  <w:num w:numId="21">
    <w:abstractNumId w:val="10"/>
  </w:num>
  <w:num w:numId="2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3A"/>
    <w:rsid w:val="00021EA4"/>
    <w:rsid w:val="00042D64"/>
    <w:rsid w:val="00072129"/>
    <w:rsid w:val="0007534C"/>
    <w:rsid w:val="00087128"/>
    <w:rsid w:val="000C1A0A"/>
    <w:rsid w:val="000F36AF"/>
    <w:rsid w:val="000F4931"/>
    <w:rsid w:val="00124501"/>
    <w:rsid w:val="00126EEA"/>
    <w:rsid w:val="0014455D"/>
    <w:rsid w:val="00187669"/>
    <w:rsid w:val="001B2A12"/>
    <w:rsid w:val="001B6F3A"/>
    <w:rsid w:val="001C2861"/>
    <w:rsid w:val="001D0CAE"/>
    <w:rsid w:val="001D1AA7"/>
    <w:rsid w:val="00237BBE"/>
    <w:rsid w:val="00252871"/>
    <w:rsid w:val="00280424"/>
    <w:rsid w:val="00283975"/>
    <w:rsid w:val="00291A57"/>
    <w:rsid w:val="002B2B7A"/>
    <w:rsid w:val="002C55A7"/>
    <w:rsid w:val="002D1E25"/>
    <w:rsid w:val="002E5D06"/>
    <w:rsid w:val="003410EC"/>
    <w:rsid w:val="00366621"/>
    <w:rsid w:val="00367B8F"/>
    <w:rsid w:val="00383698"/>
    <w:rsid w:val="003E50FD"/>
    <w:rsid w:val="00414DBD"/>
    <w:rsid w:val="00425B9E"/>
    <w:rsid w:val="00427371"/>
    <w:rsid w:val="00442B37"/>
    <w:rsid w:val="00444782"/>
    <w:rsid w:val="00451531"/>
    <w:rsid w:val="004751C0"/>
    <w:rsid w:val="004846E1"/>
    <w:rsid w:val="004C2039"/>
    <w:rsid w:val="004D42A6"/>
    <w:rsid w:val="004F4993"/>
    <w:rsid w:val="00503E27"/>
    <w:rsid w:val="005207C5"/>
    <w:rsid w:val="00530B06"/>
    <w:rsid w:val="00541878"/>
    <w:rsid w:val="0054411B"/>
    <w:rsid w:val="00564B08"/>
    <w:rsid w:val="005A336D"/>
    <w:rsid w:val="005B61A2"/>
    <w:rsid w:val="005E4A04"/>
    <w:rsid w:val="0064791E"/>
    <w:rsid w:val="006B2D38"/>
    <w:rsid w:val="006C2B92"/>
    <w:rsid w:val="006F2C56"/>
    <w:rsid w:val="00700059"/>
    <w:rsid w:val="0070519F"/>
    <w:rsid w:val="00723CB8"/>
    <w:rsid w:val="007A49E1"/>
    <w:rsid w:val="007A6DDC"/>
    <w:rsid w:val="007D4F18"/>
    <w:rsid w:val="007D5DC4"/>
    <w:rsid w:val="008406E9"/>
    <w:rsid w:val="00851814"/>
    <w:rsid w:val="008636FA"/>
    <w:rsid w:val="008A020A"/>
    <w:rsid w:val="008E45F1"/>
    <w:rsid w:val="008E55DE"/>
    <w:rsid w:val="008E752C"/>
    <w:rsid w:val="008F19CB"/>
    <w:rsid w:val="009011F0"/>
    <w:rsid w:val="00923788"/>
    <w:rsid w:val="0096208E"/>
    <w:rsid w:val="009739F3"/>
    <w:rsid w:val="009835DF"/>
    <w:rsid w:val="00984B94"/>
    <w:rsid w:val="009914E0"/>
    <w:rsid w:val="00996B9D"/>
    <w:rsid w:val="009C73EF"/>
    <w:rsid w:val="009D5F60"/>
    <w:rsid w:val="009D6FE5"/>
    <w:rsid w:val="009E04F3"/>
    <w:rsid w:val="009F3397"/>
    <w:rsid w:val="00A167B8"/>
    <w:rsid w:val="00A22B2E"/>
    <w:rsid w:val="00A32243"/>
    <w:rsid w:val="00A34B83"/>
    <w:rsid w:val="00A407DA"/>
    <w:rsid w:val="00A66682"/>
    <w:rsid w:val="00A70B01"/>
    <w:rsid w:val="00A814EE"/>
    <w:rsid w:val="00AF7168"/>
    <w:rsid w:val="00B1461A"/>
    <w:rsid w:val="00B62EE9"/>
    <w:rsid w:val="00B818DF"/>
    <w:rsid w:val="00B829A3"/>
    <w:rsid w:val="00BB51C6"/>
    <w:rsid w:val="00BB557B"/>
    <w:rsid w:val="00BD1ACA"/>
    <w:rsid w:val="00BE673D"/>
    <w:rsid w:val="00BE7A58"/>
    <w:rsid w:val="00C01303"/>
    <w:rsid w:val="00C10D8A"/>
    <w:rsid w:val="00C518B1"/>
    <w:rsid w:val="00C62152"/>
    <w:rsid w:val="00C90013"/>
    <w:rsid w:val="00CA3556"/>
    <w:rsid w:val="00CB3E75"/>
    <w:rsid w:val="00CC6461"/>
    <w:rsid w:val="00CE0FB3"/>
    <w:rsid w:val="00CE7FDD"/>
    <w:rsid w:val="00D03176"/>
    <w:rsid w:val="00D12DE0"/>
    <w:rsid w:val="00D36A7F"/>
    <w:rsid w:val="00D539A7"/>
    <w:rsid w:val="00D70DB7"/>
    <w:rsid w:val="00DA0087"/>
    <w:rsid w:val="00DA7A39"/>
    <w:rsid w:val="00DC1B80"/>
    <w:rsid w:val="00DF7A67"/>
    <w:rsid w:val="00E030E8"/>
    <w:rsid w:val="00E2256F"/>
    <w:rsid w:val="00E508B7"/>
    <w:rsid w:val="00E5682B"/>
    <w:rsid w:val="00E70FE7"/>
    <w:rsid w:val="00E874C2"/>
    <w:rsid w:val="00EC2BC1"/>
    <w:rsid w:val="00EC7590"/>
    <w:rsid w:val="00EF5A18"/>
    <w:rsid w:val="00F1273F"/>
    <w:rsid w:val="00F54428"/>
    <w:rsid w:val="00F6141C"/>
    <w:rsid w:val="00F6314F"/>
    <w:rsid w:val="00FB752F"/>
    <w:rsid w:val="00FC06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D3C2DE-D449-45FF-93DC-07ADA680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 w:val="22"/>
      <w:szCs w:val="20"/>
      <w:lang w:val="en-AU" w:eastAsia="en-AU"/>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ind w:left="360"/>
      <w:outlineLvl w:val="5"/>
    </w:pPr>
    <w:rPr>
      <w:rFonts w:ascii="Arial" w:hAnsi="Arial" w:cs="Arial"/>
      <w:b/>
      <w:bCs/>
      <w:sz w:val="22"/>
      <w:szCs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22"/>
      <w:szCs w:val="20"/>
      <w:lang w:val="en-GB" w:eastAsia="en-AU"/>
    </w:rPr>
  </w:style>
  <w:style w:type="paragraph" w:styleId="FootnoteText">
    <w:name w:val="footnote text"/>
    <w:basedOn w:val="Normal"/>
    <w:semiHidden/>
    <w:rPr>
      <w:rFonts w:ascii="Arial" w:hAnsi="Arial"/>
      <w:sz w:val="20"/>
      <w:szCs w:val="20"/>
      <w:lang w:val="en-GB" w:eastAsia="en-AU"/>
    </w:rPr>
  </w:style>
  <w:style w:type="character" w:styleId="FootnoteReference">
    <w:name w:val="footnote reference"/>
    <w:semiHidden/>
    <w:rPr>
      <w:vertAlign w:val="superscript"/>
    </w:rPr>
  </w:style>
  <w:style w:type="paragraph" w:styleId="BodyTextIndent2">
    <w:name w:val="Body Text Indent 2"/>
    <w:basedOn w:val="Normal"/>
    <w:pPr>
      <w:spacing w:after="120" w:line="480" w:lineRule="auto"/>
      <w:ind w:left="283"/>
    </w:pPr>
  </w:style>
  <w:style w:type="paragraph" w:styleId="BodyText3">
    <w:name w:val="Body Text 3"/>
    <w:basedOn w:val="Normal"/>
    <w:pPr>
      <w:spacing w:after="120"/>
    </w:pPr>
    <w:rPr>
      <w:sz w:val="16"/>
      <w:szCs w:val="16"/>
    </w:rPr>
  </w:style>
  <w:style w:type="paragraph" w:customStyle="1" w:styleId="HeadingB">
    <w:name w:val="Heading B"/>
    <w:basedOn w:val="BodyText"/>
    <w:pPr>
      <w:numPr>
        <w:ilvl w:val="1"/>
        <w:numId w:val="1"/>
      </w:numPr>
      <w:jc w:val="both"/>
    </w:pPr>
    <w:rPr>
      <w:b/>
      <w:lang w:val="en-AU"/>
    </w:rPr>
  </w:style>
  <w:style w:type="paragraph" w:styleId="BodyText2">
    <w:name w:val="Body Text 2"/>
    <w:basedOn w:val="Normal"/>
    <w:pPr>
      <w:spacing w:after="120" w:line="480" w:lineRule="auto"/>
    </w:pPr>
  </w:style>
  <w:style w:type="paragraph" w:customStyle="1" w:styleId="HeadingTop">
    <w:name w:val="Heading Top"/>
    <w:basedOn w:val="Heading1"/>
    <w:pPr>
      <w:spacing w:before="0" w:after="0"/>
      <w:jc w:val="center"/>
    </w:pPr>
    <w:rPr>
      <w:rFonts w:cs="Times New Roman"/>
      <w:bCs w:val="0"/>
      <w:kern w:val="0"/>
      <w:sz w:val="28"/>
      <w:szCs w:val="20"/>
      <w:u w:val="single"/>
      <w:lang w:val="en-AU" w:eastAsia="en-AU"/>
    </w:rPr>
  </w:style>
  <w:style w:type="paragraph" w:customStyle="1" w:styleId="HeadingA">
    <w:name w:val="Heading A"/>
    <w:basedOn w:val="Heading2"/>
    <w:pPr>
      <w:numPr>
        <w:numId w:val="2"/>
      </w:numPr>
    </w:pPr>
    <w:rPr>
      <w:rFonts w:ascii="Arial" w:hAnsi="Arial"/>
      <w:u w:val="single"/>
    </w:rPr>
  </w:style>
  <w:style w:type="paragraph" w:styleId="BalloonText">
    <w:name w:val="Balloon Text"/>
    <w:basedOn w:val="Normal"/>
    <w:semiHidden/>
    <w:rsid w:val="001B6F3A"/>
    <w:rPr>
      <w:rFonts w:ascii="Tahoma" w:hAnsi="Tahoma" w:cs="Tahoma"/>
      <w:sz w:val="16"/>
      <w:szCs w:val="16"/>
    </w:rPr>
  </w:style>
  <w:style w:type="paragraph" w:styleId="Caption">
    <w:name w:val="caption"/>
    <w:basedOn w:val="Normal"/>
    <w:next w:val="Normal"/>
    <w:qFormat/>
    <w:rsid w:val="009D6FE5"/>
    <w:rPr>
      <w:b/>
      <w:sz w:val="22"/>
      <w:szCs w:val="20"/>
      <w:lang w:val="en-AU" w:eastAsia="en-AU"/>
    </w:rPr>
  </w:style>
  <w:style w:type="character" w:styleId="PageNumber">
    <w:name w:val="page number"/>
    <w:basedOn w:val="DefaultParagraphFont"/>
    <w:rsid w:val="00F54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3087-8828-4401-9A09-96E8C5A3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Netball Victoria</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fechner</dc:creator>
  <cp:keywords/>
  <cp:lastModifiedBy>Fiona Young</cp:lastModifiedBy>
  <cp:revision>4</cp:revision>
  <cp:lastPrinted>2016-02-11T01:30:00Z</cp:lastPrinted>
  <dcterms:created xsi:type="dcterms:W3CDTF">2016-02-23T04:26:00Z</dcterms:created>
  <dcterms:modified xsi:type="dcterms:W3CDTF">2016-04-25T22:24:00Z</dcterms:modified>
</cp:coreProperties>
</file>